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4F060F" w:rsidRDefault="001B5B73">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Framework Schedule 7 (Call-Off Award Procedure</w:t>
      </w:r>
      <w:bookmarkStart w:id="0" w:name="bookmark=id.gjdgxs" w:colFirst="0" w:colLast="0"/>
      <w:bookmarkEnd w:id="0"/>
      <w:r>
        <w:rPr>
          <w:rFonts w:ascii="Arial" w:eastAsia="Arial" w:hAnsi="Arial" w:cs="Arial"/>
          <w:b/>
          <w:color w:val="000000"/>
          <w:sz w:val="36"/>
          <w:szCs w:val="36"/>
        </w:rPr>
        <w:t xml:space="preserve">) </w:t>
      </w:r>
    </w:p>
    <w:p w14:paraId="00000002" w14:textId="77777777" w:rsidR="004F060F" w:rsidRDefault="001B5B73">
      <w:pPr>
        <w:widowControl/>
        <w:pBdr>
          <w:top w:val="nil"/>
          <w:left w:val="nil"/>
          <w:bottom w:val="nil"/>
          <w:right w:val="nil"/>
          <w:between w:val="nil"/>
        </w:pBdr>
        <w:spacing w:before="240" w:after="120"/>
        <w:rPr>
          <w:rFonts w:ascii="Arial" w:eastAsia="Arial" w:hAnsi="Arial" w:cs="Arial"/>
          <w:b/>
          <w:color w:val="000000"/>
          <w:sz w:val="36"/>
          <w:szCs w:val="36"/>
        </w:rPr>
      </w:pPr>
      <w:r>
        <w:rPr>
          <w:rFonts w:ascii="Arial" w:eastAsia="Arial" w:hAnsi="Arial" w:cs="Arial"/>
          <w:b/>
          <w:color w:val="000000"/>
          <w:sz w:val="36"/>
          <w:szCs w:val="36"/>
        </w:rPr>
        <w:t>Part 1: Order Pro</w:t>
      </w:r>
      <w:bookmarkStart w:id="1" w:name="_GoBack"/>
      <w:bookmarkEnd w:id="1"/>
      <w:r>
        <w:rPr>
          <w:rFonts w:ascii="Arial" w:eastAsia="Arial" w:hAnsi="Arial" w:cs="Arial"/>
          <w:b/>
          <w:color w:val="000000"/>
          <w:sz w:val="36"/>
          <w:szCs w:val="36"/>
        </w:rPr>
        <w:t>cedure</w:t>
      </w:r>
    </w:p>
    <w:p w14:paraId="00000003" w14:textId="77777777" w:rsidR="004F060F" w:rsidRDefault="001B5B73">
      <w:pPr>
        <w:keepNext/>
        <w:widowControl/>
        <w:numPr>
          <w:ilvl w:val="0"/>
          <w:numId w:val="6"/>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Call-Off Contract is awarded</w:t>
      </w:r>
    </w:p>
    <w:p w14:paraId="00000004" w14:textId="77777777" w:rsidR="004F060F" w:rsidRDefault="001B5B73">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If a potential Buyer decides to source Deliverables through this Contract then it will award its Deliverables in accordance with the procedure in this Schedule and the requirements of the Regulations.</w:t>
      </w:r>
    </w:p>
    <w:p w14:paraId="00000005" w14:textId="77777777" w:rsidR="004F060F" w:rsidRDefault="001B5B73">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3" w:name="_heading=h.1fob9te" w:colFirst="0" w:colLast="0"/>
      <w:bookmarkEnd w:id="3"/>
      <w:r>
        <w:rPr>
          <w:rFonts w:ascii="Arial" w:eastAsia="Arial" w:hAnsi="Arial" w:cs="Arial"/>
          <w:color w:val="000000"/>
          <w:sz w:val="24"/>
          <w:szCs w:val="24"/>
        </w:rPr>
        <w:t>If the potential Buyer can determine that:</w:t>
      </w:r>
    </w:p>
    <w:p w14:paraId="00000006"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its Deliverables can be met by the Suppliers’ catalogues and description of the Deliverables as set out in Framework Schedule 1 (Specification) and Framework Schedule 2 (Framework Tender); and</w:t>
      </w:r>
    </w:p>
    <w:p w14:paraId="00000007"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all of the terms of the proposed Call-Off Contract are laid down in this Contract and do not require amendment or any supplementary terms and conditions;</w:t>
      </w:r>
    </w:p>
    <w:p w14:paraId="00000008" w14:textId="77777777" w:rsidR="004F060F" w:rsidRDefault="001B5B73">
      <w:pPr>
        <w:widowControl/>
        <w:pBdr>
          <w:top w:val="nil"/>
          <w:left w:val="nil"/>
          <w:bottom w:val="nil"/>
          <w:right w:val="nil"/>
          <w:between w:val="nil"/>
        </w:pBdr>
        <w:tabs>
          <w:tab w:val="left" w:pos="4536"/>
        </w:tabs>
        <w:spacing w:after="220"/>
        <w:ind w:left="936"/>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procedure set out in Paragraph 2 below.</w:t>
      </w:r>
    </w:p>
    <w:p w14:paraId="00000009" w14:textId="77777777" w:rsidR="004F060F" w:rsidRDefault="001B5B73">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If all of the terms of the proposed Call-Off Contract are not laid down in this Contract and the potential Buyer:</w:t>
      </w:r>
    </w:p>
    <w:p w14:paraId="0000000A"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requires the Supplier to develop proposals or a solution in respect of such Deliverables; and/or</w:t>
      </w:r>
    </w:p>
    <w:p w14:paraId="0000000B"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needs to amend or refine the terms of the Framework Contract to reflect its Deliverables to the extent permitted by and in accordance with the Regulations;</w:t>
      </w:r>
    </w:p>
    <w:p w14:paraId="0000000C" w14:textId="77777777" w:rsidR="004F060F" w:rsidRDefault="001B5B73">
      <w:pPr>
        <w:widowControl/>
        <w:pBdr>
          <w:top w:val="nil"/>
          <w:left w:val="nil"/>
          <w:bottom w:val="nil"/>
          <w:right w:val="nil"/>
          <w:between w:val="nil"/>
        </w:pBdr>
        <w:tabs>
          <w:tab w:val="left" w:pos="4536"/>
        </w:tabs>
        <w:spacing w:after="220"/>
        <w:ind w:left="900"/>
        <w:rPr>
          <w:rFonts w:ascii="Arial" w:eastAsia="Arial" w:hAnsi="Arial" w:cs="Arial"/>
          <w:color w:val="000000"/>
          <w:sz w:val="24"/>
          <w:szCs w:val="24"/>
        </w:rPr>
      </w:pPr>
      <w:proofErr w:type="gramStart"/>
      <w:r>
        <w:rPr>
          <w:rFonts w:ascii="Arial" w:eastAsia="Arial" w:hAnsi="Arial" w:cs="Arial"/>
          <w:color w:val="000000"/>
          <w:sz w:val="24"/>
          <w:szCs w:val="24"/>
        </w:rPr>
        <w:t>then</w:t>
      </w:r>
      <w:proofErr w:type="gramEnd"/>
      <w:r>
        <w:rPr>
          <w:rFonts w:ascii="Arial" w:eastAsia="Arial" w:hAnsi="Arial" w:cs="Arial"/>
          <w:color w:val="000000"/>
          <w:sz w:val="24"/>
          <w:szCs w:val="24"/>
        </w:rPr>
        <w:t xml:space="preserve"> the Buyer may award a Call-Off Contract in accordance with the Further Competition Procedure set out in Paragraph 3 below.</w:t>
      </w:r>
    </w:p>
    <w:p w14:paraId="0000000D" w14:textId="77777777" w:rsidR="004F060F" w:rsidRDefault="001B5B73">
      <w:pPr>
        <w:keepNext/>
        <w:widowControl/>
        <w:numPr>
          <w:ilvl w:val="0"/>
          <w:numId w:val="5"/>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direct award works</w:t>
      </w:r>
    </w:p>
    <w:p w14:paraId="0000000E" w14:textId="77777777" w:rsidR="004F060F" w:rsidRDefault="001B5B73">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Subject to Paragraph 1.2 above the Buyer awarding a Call-Off Contract under this Contract without holding a further competition shall:</w:t>
      </w:r>
    </w:p>
    <w:p w14:paraId="0000000F" w14:textId="77777777" w:rsidR="004F060F" w:rsidRDefault="001B5B73">
      <w:pPr>
        <w:widowControl/>
        <w:numPr>
          <w:ilvl w:val="3"/>
          <w:numId w:val="5"/>
        </w:numPr>
        <w:tabs>
          <w:tab w:val="left" w:pos="3641"/>
        </w:tabs>
        <w:spacing w:before="240" w:after="240"/>
        <w:rPr>
          <w:rFonts w:ascii="Arial" w:eastAsia="Arial" w:hAnsi="Arial" w:cs="Arial"/>
          <w:color w:val="000000"/>
        </w:rPr>
      </w:pPr>
      <w:r>
        <w:rPr>
          <w:rFonts w:ascii="Arial" w:eastAsia="Arial" w:hAnsi="Arial" w:cs="Arial"/>
          <w:sz w:val="24"/>
          <w:szCs w:val="24"/>
        </w:rPr>
        <w:t>develop a clear Statement of Requirements whereby the anticipated call off charges do not exceed £20,000 per annum;</w:t>
      </w:r>
    </w:p>
    <w:p w14:paraId="00000010"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direct award criteria to the Suppliers’ catalogues and description of the Deliverables as set out in Framework Schedule 1 (Specification) and Framework Schedule 2 (Framework Tender) for all Suppliers capable of meeting the Statement of Requirements in order to establish which Supplier provides the most economically advantageous solution; and</w:t>
      </w:r>
    </w:p>
    <w:p w14:paraId="00000011"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lastRenderedPageBreak/>
        <w:t>on</w:t>
      </w:r>
      <w:proofErr w:type="gramEnd"/>
      <w:r>
        <w:rPr>
          <w:rFonts w:ascii="Arial" w:eastAsia="Arial" w:hAnsi="Arial" w:cs="Arial"/>
          <w:color w:val="000000"/>
          <w:sz w:val="24"/>
          <w:szCs w:val="24"/>
        </w:rPr>
        <w:t xml:space="preserve"> the basis set out above, award the Call-Off Contract with the successful Supplier in accordance with Paragraph 6 below.</w:t>
      </w:r>
    </w:p>
    <w:p w14:paraId="00000012" w14:textId="77777777" w:rsidR="004F060F" w:rsidRDefault="004F060F">
      <w:pPr>
        <w:widowControl/>
        <w:pBdr>
          <w:top w:val="nil"/>
          <w:left w:val="nil"/>
          <w:bottom w:val="nil"/>
          <w:right w:val="nil"/>
          <w:between w:val="nil"/>
        </w:pBdr>
        <w:tabs>
          <w:tab w:val="left" w:pos="3641"/>
        </w:tabs>
        <w:spacing w:before="120" w:after="120"/>
        <w:ind w:left="1985"/>
        <w:rPr>
          <w:rFonts w:ascii="Arial" w:eastAsia="Arial" w:hAnsi="Arial" w:cs="Arial"/>
          <w:color w:val="000000"/>
          <w:sz w:val="24"/>
          <w:szCs w:val="24"/>
        </w:rPr>
      </w:pPr>
    </w:p>
    <w:p w14:paraId="00000013" w14:textId="77777777" w:rsidR="004F060F" w:rsidRDefault="001B5B73">
      <w:pPr>
        <w:keepNext/>
        <w:widowControl/>
        <w:numPr>
          <w:ilvl w:val="0"/>
          <w:numId w:val="5"/>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How a further competition works</w:t>
      </w:r>
    </w:p>
    <w:p w14:paraId="00000014" w14:textId="77777777" w:rsidR="004F060F" w:rsidRDefault="001B5B73">
      <w:pPr>
        <w:keepNext/>
        <w:widowControl/>
        <w:pBdr>
          <w:top w:val="nil"/>
          <w:left w:val="nil"/>
          <w:bottom w:val="nil"/>
          <w:right w:val="nil"/>
          <w:between w:val="nil"/>
        </w:pBdr>
        <w:tabs>
          <w:tab w:val="left" w:pos="3054"/>
        </w:tabs>
        <w:spacing w:before="120" w:after="120"/>
        <w:ind w:left="1134" w:hanging="774"/>
        <w:rPr>
          <w:rFonts w:ascii="Arial" w:eastAsia="Arial" w:hAnsi="Arial" w:cs="Arial"/>
          <w:b/>
          <w:color w:val="000000"/>
          <w:sz w:val="24"/>
          <w:szCs w:val="24"/>
        </w:rPr>
      </w:pPr>
      <w:r>
        <w:rPr>
          <w:rFonts w:ascii="Arial" w:eastAsia="Arial" w:hAnsi="Arial" w:cs="Arial"/>
          <w:b/>
          <w:color w:val="000000"/>
          <w:sz w:val="24"/>
          <w:szCs w:val="24"/>
        </w:rPr>
        <w:t>What the Buyer has to do</w:t>
      </w:r>
    </w:p>
    <w:p w14:paraId="00000015" w14:textId="77777777" w:rsidR="004F060F" w:rsidRDefault="001B5B73">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Buyer awarding a Call-Off Contract under this Contract through a Further Competition Procedure shall:</w:t>
      </w:r>
    </w:p>
    <w:p w14:paraId="00000016"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4" w:name="_heading=h.3znysh7" w:colFirst="0" w:colLast="0"/>
      <w:bookmarkEnd w:id="4"/>
      <w:r>
        <w:rPr>
          <w:rFonts w:ascii="Arial" w:eastAsia="Arial" w:hAnsi="Arial" w:cs="Arial"/>
          <w:color w:val="000000"/>
          <w:sz w:val="24"/>
          <w:szCs w:val="24"/>
        </w:rPr>
        <w:t>develop a Statement of Requirements setting out its requirements for the Deliverables and identify the Suppliers capable of supplying the them;</w:t>
      </w:r>
    </w:p>
    <w:p w14:paraId="00000017"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amend or refine the Deliverables to reflect its requirements by using the Order Form only to the extent permitted by and in accordance with the requirements of the Regulations;</w:t>
      </w:r>
    </w:p>
    <w:p w14:paraId="00000018" w14:textId="77777777" w:rsidR="004F060F" w:rsidRDefault="001B5B73">
      <w:pPr>
        <w:keepNext/>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bookmarkStart w:id="6" w:name="_heading=h.tyjcwt" w:colFirst="0" w:colLast="0"/>
      <w:bookmarkEnd w:id="6"/>
      <w:r>
        <w:rPr>
          <w:rFonts w:ascii="Arial" w:eastAsia="Arial" w:hAnsi="Arial" w:cs="Arial"/>
          <w:color w:val="000000"/>
          <w:sz w:val="24"/>
          <w:szCs w:val="24"/>
        </w:rPr>
        <w:t>invite tenders by conducting a Further Competition Procedure for its Deliverables in accordance with the Regulations and in particular:</w:t>
      </w:r>
    </w:p>
    <w:p w14:paraId="00000019"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(as defined in Paragraph 7 below) is to be held, the Buyer shall notify the Suppliers identified in accordance with Paragraph 3.1.1 and shall conduct the Further Competition Procedure in accordance with the procedures set out in Paragraph 3; or</w:t>
      </w:r>
    </w:p>
    <w:p w14:paraId="0000001A" w14:textId="77777777" w:rsidR="004F060F" w:rsidRDefault="001B5B73">
      <w:pPr>
        <w:keepNext/>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if an Electronic Reverse Auction is not used, the Buyer shall:</w:t>
      </w:r>
    </w:p>
    <w:p w14:paraId="0000001B" w14:textId="77777777" w:rsidR="004F060F" w:rsidRDefault="001B5B73">
      <w:pPr>
        <w:widowControl/>
        <w:numPr>
          <w:ilvl w:val="4"/>
          <w:numId w:val="5"/>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invite the Suppliers identified in accordance with Paragraph 3.1.1 to submit a tender in writing for each proposed Call-Off Contract to be awarded by giving written notice by email to the relevant Supplier Representative of each Supplier;</w:t>
      </w:r>
    </w:p>
    <w:p w14:paraId="0000001C" w14:textId="77777777" w:rsidR="004F060F" w:rsidRDefault="001B5B73">
      <w:pPr>
        <w:widowControl/>
        <w:numPr>
          <w:ilvl w:val="4"/>
          <w:numId w:val="5"/>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set a time limit for the receipt by it of the tenders which takes into account factors such as the complexity of the subject matter of the proposed Call-Off Contract and the time needed to submit tenders; and</w:t>
      </w:r>
    </w:p>
    <w:p w14:paraId="0000001D" w14:textId="77777777" w:rsidR="004F060F" w:rsidRDefault="001B5B73">
      <w:pPr>
        <w:widowControl/>
        <w:numPr>
          <w:ilvl w:val="4"/>
          <w:numId w:val="5"/>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keep</w:t>
      </w:r>
      <w:proofErr w:type="gramEnd"/>
      <w:r>
        <w:rPr>
          <w:rFonts w:ascii="Arial" w:eastAsia="Arial" w:hAnsi="Arial" w:cs="Arial"/>
          <w:color w:val="000000"/>
          <w:sz w:val="24"/>
          <w:szCs w:val="24"/>
        </w:rPr>
        <w:t xml:space="preserve"> each tender confidential until the time limit set out for the return of tenders has expired.</w:t>
      </w:r>
    </w:p>
    <w:p w14:paraId="0000001E"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apply the further competition award criteria to the Suppliers' compliant tenders submitted through the Further Competition Procedure as the basis of its decision to award a Call-Off Contract for its Deliverables;</w:t>
      </w:r>
    </w:p>
    <w:p w14:paraId="0000001F" w14:textId="77777777" w:rsidR="004F060F" w:rsidRDefault="001B5B73">
      <w:pPr>
        <w:keepNext/>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on</w:t>
      </w:r>
      <w:proofErr w:type="gramEnd"/>
      <w:r>
        <w:rPr>
          <w:rFonts w:ascii="Arial" w:eastAsia="Arial" w:hAnsi="Arial" w:cs="Arial"/>
          <w:color w:val="000000"/>
          <w:sz w:val="24"/>
          <w:szCs w:val="24"/>
        </w:rPr>
        <w:t xml:space="preserve"> the basis set out above, award its Call-Off Contract to the successful Supplier in accordance with Paragraph 6. The Call-Off Contract shall:</w:t>
      </w:r>
    </w:p>
    <w:p w14:paraId="00000020"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Deliverables;</w:t>
      </w:r>
    </w:p>
    <w:p w14:paraId="00000021"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state the tender submitted by the successful Supplier;</w:t>
      </w:r>
    </w:p>
    <w:p w14:paraId="00000022"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state the charges payable for the Deliverables in accordance with the tender submitted by the successful Supplier; and</w:t>
      </w:r>
    </w:p>
    <w:p w14:paraId="00000023"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incorporate the terms [of the Order Form and Contract] (as may be amended or refined by the Buyer in accordance with Paragraph 3.1.2. above) applicable to the Deliverables,</w:t>
      </w:r>
    </w:p>
    <w:p w14:paraId="00000024"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provide</w:t>
      </w:r>
      <w:proofErr w:type="gramEnd"/>
      <w:r>
        <w:rPr>
          <w:rFonts w:ascii="Arial" w:eastAsia="Arial" w:hAnsi="Arial" w:cs="Arial"/>
          <w:color w:val="000000"/>
          <w:sz w:val="24"/>
          <w:szCs w:val="24"/>
        </w:rPr>
        <w:t xml:space="preserve"> unsuccessful Suppliers with written feedback in relation to the reasons why their tenders were unsuccessful.</w:t>
      </w:r>
    </w:p>
    <w:p w14:paraId="00000025" w14:textId="77777777" w:rsidR="004F060F" w:rsidRDefault="001B5B73">
      <w:pPr>
        <w:keepNext/>
        <w:widowControl/>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b/>
          <w:color w:val="000000"/>
          <w:sz w:val="24"/>
          <w:szCs w:val="24"/>
        </w:rPr>
        <w:t>What the Supplier has to do</w:t>
      </w:r>
    </w:p>
    <w:p w14:paraId="00000026" w14:textId="77777777" w:rsidR="004F060F" w:rsidRDefault="001B5B73">
      <w:pPr>
        <w:keepNext/>
        <w:widowControl/>
        <w:numPr>
          <w:ilvl w:val="1"/>
          <w:numId w:val="5"/>
        </w:numPr>
        <w:pBdr>
          <w:top w:val="nil"/>
          <w:left w:val="nil"/>
          <w:bottom w:val="nil"/>
          <w:right w:val="nil"/>
          <w:between w:val="nil"/>
        </w:pBdr>
        <w:tabs>
          <w:tab w:val="left" w:pos="3054"/>
        </w:tabs>
        <w:spacing w:before="120" w:after="120"/>
        <w:rPr>
          <w:rFonts w:ascii="Arial" w:eastAsia="Arial" w:hAnsi="Arial" w:cs="Arial"/>
          <w:b/>
          <w:color w:val="000000"/>
          <w:sz w:val="24"/>
          <w:szCs w:val="24"/>
        </w:rPr>
      </w:pPr>
      <w:r>
        <w:rPr>
          <w:rFonts w:ascii="Arial" w:eastAsia="Arial" w:hAnsi="Arial" w:cs="Arial"/>
          <w:color w:val="000000"/>
          <w:sz w:val="24"/>
          <w:szCs w:val="24"/>
        </w:rPr>
        <w:t>The Supplier shall in writing, by the time and date by the time and date specified by the Buyer following an invitation to tender pursuant to Paragraph 3.1.3 above, provide CCS and the Buyer with either:</w:t>
      </w:r>
    </w:p>
    <w:p w14:paraId="00000027" w14:textId="77777777" w:rsidR="004F060F" w:rsidRDefault="004F060F">
      <w:pPr>
        <w:widowControl/>
        <w:pBdr>
          <w:top w:val="nil"/>
          <w:left w:val="nil"/>
          <w:bottom w:val="nil"/>
          <w:right w:val="nil"/>
          <w:between w:val="nil"/>
        </w:pBdr>
        <w:tabs>
          <w:tab w:val="left" w:pos="3641"/>
        </w:tabs>
        <w:spacing w:before="120" w:after="120"/>
        <w:rPr>
          <w:rFonts w:ascii="Arial" w:eastAsia="Arial" w:hAnsi="Arial" w:cs="Arial"/>
          <w:color w:val="000000"/>
          <w:sz w:val="24"/>
          <w:szCs w:val="24"/>
        </w:rPr>
      </w:pPr>
    </w:p>
    <w:p w14:paraId="00000028"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a statement to the effect that it does not wish to tender in relation to the Deliverables; or</w:t>
      </w:r>
    </w:p>
    <w:p w14:paraId="00000029" w14:textId="77777777" w:rsidR="004F060F" w:rsidRDefault="001B5B73">
      <w:pPr>
        <w:keepNext/>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full details of its tender made in respect of the relevant Statement of Requirements. In the event that the Supplier submits such a tender, it should include, as a minimum:</w:t>
      </w:r>
    </w:p>
    <w:p w14:paraId="0000002A"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an email response subject line to comprise unique reference number and Supplier name, so as to clearly identify the Supplier;</w:t>
      </w:r>
    </w:p>
    <w:p w14:paraId="0000002B"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brief summary, in the email (followed by a confirmation letter), stating that the Supplier is bidding for the Statement of Requirements;</w:t>
      </w:r>
    </w:p>
    <w:p w14:paraId="0000002C"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 proposal covering the Deliverables;</w:t>
      </w:r>
    </w:p>
    <w:p w14:paraId="0000002D"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CVs of key staff – as a minimum any lead consultant, with others, as considered appropriate along with required staff levels (if necessary); and</w:t>
      </w:r>
    </w:p>
    <w:p w14:paraId="0000002E"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proofErr w:type="gramStart"/>
      <w:r>
        <w:rPr>
          <w:rFonts w:ascii="Arial" w:eastAsia="Arial" w:hAnsi="Arial" w:cs="Arial"/>
          <w:color w:val="000000"/>
          <w:sz w:val="24"/>
          <w:szCs w:val="24"/>
        </w:rPr>
        <w:t>confirmation</w:t>
      </w:r>
      <w:proofErr w:type="gramEnd"/>
      <w:r>
        <w:rPr>
          <w:rFonts w:ascii="Arial" w:eastAsia="Arial" w:hAnsi="Arial" w:cs="Arial"/>
          <w:color w:val="000000"/>
          <w:sz w:val="24"/>
          <w:szCs w:val="24"/>
        </w:rPr>
        <w:t xml:space="preserve"> of discounts applicable to the Deliverables, as referenced in Framework Schedule 3 (Framework Prices) (if applicable).</w:t>
      </w:r>
    </w:p>
    <w:p w14:paraId="0000002F"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shall ensure that any prices submitted in relation to a Further Competition Procedure held pursuant to this Paragraph 3 shall be based on the Charging Structure and take into account any discount to which the Buyer may be entitled as set out in Framework Schedule 3 (Framework Prices).</w:t>
      </w:r>
    </w:p>
    <w:p w14:paraId="00000030" w14:textId="77777777" w:rsidR="004F060F" w:rsidRDefault="001B5B73">
      <w:pPr>
        <w:keepNext/>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Supplier agrees that:</w:t>
      </w:r>
    </w:p>
    <w:p w14:paraId="00000031"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t>all tenders submitted by the Supplier in relation to a Further Competition Procedure held pursuant to this Paragraph 3 shall remain open for acceptance by the Buyer for ninety (90) Working Days (or such other period specified in the invitation to tender issued by the Buyer in accordance with the Call-Off Procedure); and</w:t>
      </w:r>
    </w:p>
    <w:p w14:paraId="00000032" w14:textId="77777777" w:rsidR="004F060F" w:rsidRDefault="001B5B73">
      <w:pPr>
        <w:widowControl/>
        <w:numPr>
          <w:ilvl w:val="3"/>
          <w:numId w:val="5"/>
        </w:numPr>
        <w:pBdr>
          <w:top w:val="nil"/>
          <w:left w:val="nil"/>
          <w:bottom w:val="nil"/>
          <w:right w:val="nil"/>
          <w:between w:val="nil"/>
        </w:pBdr>
        <w:tabs>
          <w:tab w:val="left" w:pos="3641"/>
        </w:tabs>
        <w:spacing w:before="120" w:after="120"/>
        <w:ind w:left="2592" w:hanging="936"/>
        <w:rPr>
          <w:rFonts w:ascii="Arial" w:eastAsia="Arial" w:hAnsi="Arial" w:cs="Arial"/>
          <w:color w:val="000000"/>
          <w:sz w:val="24"/>
          <w:szCs w:val="24"/>
        </w:rPr>
      </w:pPr>
      <w:r>
        <w:rPr>
          <w:rFonts w:ascii="Arial" w:eastAsia="Arial" w:hAnsi="Arial" w:cs="Arial"/>
          <w:color w:val="000000"/>
          <w:sz w:val="24"/>
          <w:szCs w:val="24"/>
        </w:rPr>
        <w:lastRenderedPageBreak/>
        <w:t>all tenders submitted by the Supplier are made and will be made in good faith and that the Supplier has not fixed or adjusted and will not  fix or adjust the price of the tender by or in accordance with any agreement or arrangement with any other person. The Supplier certifies that it has not and undertakes that it will not:</w:t>
      </w:r>
    </w:p>
    <w:p w14:paraId="00000033" w14:textId="77777777" w:rsidR="004F060F" w:rsidRDefault="001B5B73">
      <w:pPr>
        <w:widowControl/>
        <w:numPr>
          <w:ilvl w:val="4"/>
          <w:numId w:val="5"/>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r>
        <w:rPr>
          <w:rFonts w:ascii="Arial" w:eastAsia="Arial" w:hAnsi="Arial" w:cs="Arial"/>
          <w:color w:val="000000"/>
          <w:sz w:val="24"/>
          <w:szCs w:val="24"/>
        </w:rPr>
        <w:t>communicate to any person other than the person inviting these tenders the amount or approximate amount of the tender, except where the disclosure, in confidence, of the approximate amount of the tender was necessary to obtain quotations required for the preparation of the tender; and</w:t>
      </w:r>
    </w:p>
    <w:p w14:paraId="00000034" w14:textId="77777777" w:rsidR="004F060F" w:rsidRDefault="001B5B73">
      <w:pPr>
        <w:widowControl/>
        <w:numPr>
          <w:ilvl w:val="4"/>
          <w:numId w:val="5"/>
        </w:numPr>
        <w:pBdr>
          <w:top w:val="nil"/>
          <w:left w:val="nil"/>
          <w:bottom w:val="nil"/>
          <w:right w:val="nil"/>
          <w:between w:val="nil"/>
        </w:pBdr>
        <w:tabs>
          <w:tab w:val="left" w:pos="6238"/>
        </w:tabs>
        <w:spacing w:before="120" w:after="120"/>
        <w:ind w:left="3119" w:hanging="566"/>
        <w:rPr>
          <w:rFonts w:ascii="Arial" w:eastAsia="Arial" w:hAnsi="Arial" w:cs="Arial"/>
          <w:color w:val="000000"/>
          <w:sz w:val="24"/>
          <w:szCs w:val="24"/>
        </w:rPr>
      </w:pPr>
      <w:proofErr w:type="gramStart"/>
      <w:r>
        <w:rPr>
          <w:rFonts w:ascii="Arial" w:eastAsia="Arial" w:hAnsi="Arial" w:cs="Arial"/>
          <w:color w:val="000000"/>
          <w:sz w:val="24"/>
          <w:szCs w:val="24"/>
        </w:rPr>
        <w:t>enter</w:t>
      </w:r>
      <w:proofErr w:type="gramEnd"/>
      <w:r>
        <w:rPr>
          <w:rFonts w:ascii="Arial" w:eastAsia="Arial" w:hAnsi="Arial" w:cs="Arial"/>
          <w:color w:val="000000"/>
          <w:sz w:val="24"/>
          <w:szCs w:val="24"/>
        </w:rPr>
        <w:t xml:space="preserve"> into any arrangement or agreement with any other person that he or the other person(s) shall refrain from submitting a tender or as to the amount of any tenders to be submitted.</w:t>
      </w:r>
    </w:p>
    <w:p w14:paraId="00000035" w14:textId="77777777" w:rsidR="004F060F" w:rsidRDefault="001B5B73">
      <w:pPr>
        <w:keepNext/>
        <w:widowControl/>
        <w:numPr>
          <w:ilvl w:val="0"/>
          <w:numId w:val="5"/>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No requirement to award</w:t>
      </w:r>
    </w:p>
    <w:p w14:paraId="00000036" w14:textId="77777777" w:rsidR="004F060F" w:rsidRDefault="001B5B73">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Notwithstanding the fact that the Buyer has followed a procedure as set out above in Paragraph 2 or 3 (as applicable), the Supplier acknowledges and agrees that the Buyer shall be entitled at all times to decline to make an award for its Deliverables and that nothing in this Contract shall oblige the Buyer to award any Call-Off Contract.</w:t>
      </w:r>
    </w:p>
    <w:p w14:paraId="00000037" w14:textId="77777777" w:rsidR="004F060F" w:rsidRDefault="001B5B73">
      <w:pPr>
        <w:keepNext/>
        <w:widowControl/>
        <w:numPr>
          <w:ilvl w:val="0"/>
          <w:numId w:val="5"/>
        </w:numPr>
        <w:pBdr>
          <w:top w:val="nil"/>
          <w:left w:val="nil"/>
          <w:bottom w:val="nil"/>
          <w:right w:val="nil"/>
          <w:between w:val="nil"/>
        </w:pBdr>
        <w:tabs>
          <w:tab w:val="left" w:pos="142"/>
        </w:tabs>
        <w:spacing w:before="120" w:after="240"/>
        <w:rPr>
          <w:rFonts w:ascii="Arial Bold" w:eastAsia="Arial Bold" w:hAnsi="Arial Bold" w:cs="Arial Bold"/>
          <w:b/>
          <w:color w:val="000000"/>
          <w:sz w:val="24"/>
          <w:szCs w:val="24"/>
        </w:rPr>
      </w:pPr>
      <w:r>
        <w:rPr>
          <w:rFonts w:ascii="Arial Bold" w:eastAsia="Arial Bold" w:hAnsi="Arial Bold" w:cs="Arial Bold"/>
          <w:b/>
          <w:color w:val="000000"/>
          <w:sz w:val="24"/>
          <w:szCs w:val="24"/>
        </w:rPr>
        <w:t>Who is responsible for the award</w:t>
      </w:r>
    </w:p>
    <w:p w14:paraId="00000038" w14:textId="77777777" w:rsidR="004F060F" w:rsidRDefault="001B5B73">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Supplier acknowledges that the Buyer is independently responsible for the conduct of its award of Call-Off Contracts under this Contract and that CCS is not responsible or accountable for and shall have no liability whatsoever, except where it is the Buyer, in relation to:</w:t>
      </w:r>
    </w:p>
    <w:p w14:paraId="00000039"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r>
        <w:rPr>
          <w:rFonts w:ascii="Arial" w:eastAsia="Arial" w:hAnsi="Arial" w:cs="Arial"/>
          <w:color w:val="000000"/>
          <w:sz w:val="24"/>
          <w:szCs w:val="24"/>
        </w:rPr>
        <w:t>the conduct of Buyer in relation to this Contract; or</w:t>
      </w:r>
    </w:p>
    <w:p w14:paraId="0000003A" w14:textId="77777777" w:rsidR="004F060F" w:rsidRDefault="001B5B73">
      <w:pPr>
        <w:widowControl/>
        <w:numPr>
          <w:ilvl w:val="2"/>
          <w:numId w:val="5"/>
        </w:numPr>
        <w:pBdr>
          <w:top w:val="nil"/>
          <w:left w:val="nil"/>
          <w:bottom w:val="nil"/>
          <w:right w:val="nil"/>
          <w:between w:val="nil"/>
        </w:pBdr>
        <w:tabs>
          <w:tab w:val="left" w:pos="3641"/>
        </w:tabs>
        <w:spacing w:before="120" w:after="120"/>
        <w:rPr>
          <w:rFonts w:ascii="Arial" w:eastAsia="Arial" w:hAnsi="Arial" w:cs="Arial"/>
          <w:color w:val="000000"/>
          <w:sz w:val="24"/>
          <w:szCs w:val="24"/>
        </w:rPr>
      </w:pPr>
      <w:proofErr w:type="gramStart"/>
      <w:r>
        <w:rPr>
          <w:rFonts w:ascii="Arial" w:eastAsia="Arial" w:hAnsi="Arial" w:cs="Arial"/>
          <w:color w:val="000000"/>
          <w:sz w:val="24"/>
          <w:szCs w:val="24"/>
        </w:rPr>
        <w:t>the</w:t>
      </w:r>
      <w:proofErr w:type="gramEnd"/>
      <w:r>
        <w:rPr>
          <w:rFonts w:ascii="Arial" w:eastAsia="Arial" w:hAnsi="Arial" w:cs="Arial"/>
          <w:color w:val="000000"/>
          <w:sz w:val="24"/>
          <w:szCs w:val="24"/>
        </w:rPr>
        <w:t xml:space="preserve"> performance or non-performance of any Call-Off Contracts between the Supplier and Buyer entered into pursuant to this Contract.</w:t>
      </w:r>
    </w:p>
    <w:p w14:paraId="0000003B" w14:textId="77777777" w:rsidR="004F060F" w:rsidRDefault="001B5B73">
      <w:pPr>
        <w:keepNext/>
        <w:widowControl/>
        <w:numPr>
          <w:ilvl w:val="0"/>
          <w:numId w:val="5"/>
        </w:numPr>
        <w:pBdr>
          <w:top w:val="nil"/>
          <w:left w:val="nil"/>
          <w:bottom w:val="nil"/>
          <w:right w:val="nil"/>
          <w:between w:val="nil"/>
        </w:pBdr>
        <w:tabs>
          <w:tab w:val="left" w:pos="142"/>
        </w:tabs>
        <w:spacing w:before="120" w:after="240"/>
        <w:rPr>
          <w:rFonts w:ascii="Arial" w:eastAsia="Arial" w:hAnsi="Arial" w:cs="Arial"/>
          <w:b/>
          <w:smallCaps/>
          <w:color w:val="000000"/>
          <w:sz w:val="24"/>
          <w:szCs w:val="24"/>
        </w:rPr>
      </w:pPr>
      <w:r>
        <w:rPr>
          <w:rFonts w:ascii="Arial Bold" w:eastAsia="Arial Bold" w:hAnsi="Arial Bold" w:cs="Arial Bold"/>
          <w:b/>
          <w:color w:val="000000"/>
          <w:sz w:val="24"/>
          <w:szCs w:val="24"/>
        </w:rPr>
        <w:t>Awarding and creating a Call-Off contract</w:t>
      </w:r>
    </w:p>
    <w:p w14:paraId="0000003C" w14:textId="77777777" w:rsidR="004F060F" w:rsidRDefault="001B5B73">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Subject to Paragraphs 1 to 5 above and 7, a Buyer may award a Call-Off Contract with the Supplier by sending (including electronically) a signed order form substantially in the form (as may be amended or refined by the Buyer in accordance with Paragraph 3.1.2 above) of the Order Form Template set out in Framework Schedule 6 (Order Form Template and Call-Off Schedules).</w:t>
      </w:r>
    </w:p>
    <w:p w14:paraId="0000003D" w14:textId="77777777" w:rsidR="004F060F" w:rsidRDefault="001B5B73">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The Parties agree that any document or communication (including any document or communication in the apparent form of a Call-Off Contract) which is not as described in this Paragraph 6 shall not constitute a Call-Off Contract under this Contract.</w:t>
      </w:r>
    </w:p>
    <w:p w14:paraId="0000003E" w14:textId="77777777" w:rsidR="004F060F" w:rsidRDefault="001B5B73">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 xml:space="preserve">On receipt of an order form as described in Paragraph 6.1 from a Buyer the Supplier shall accept the Call-Off Contract by promptly signing and returning </w:t>
      </w:r>
      <w:r>
        <w:rPr>
          <w:rFonts w:ascii="Arial" w:eastAsia="Arial" w:hAnsi="Arial" w:cs="Arial"/>
          <w:color w:val="000000"/>
          <w:sz w:val="24"/>
          <w:szCs w:val="24"/>
        </w:rPr>
        <w:lastRenderedPageBreak/>
        <w:t>(including by electronic means) a copy of the order form to the Buyer concerned.</w:t>
      </w:r>
    </w:p>
    <w:p w14:paraId="0000003F" w14:textId="77777777" w:rsidR="004F060F" w:rsidRDefault="001B5B73">
      <w:pPr>
        <w:widowControl/>
        <w:numPr>
          <w:ilvl w:val="1"/>
          <w:numId w:val="5"/>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 xml:space="preserve">On receipt of the countersigned Order Form from the Supplier, the Buyer shall send (including by electronic means) a written notice of receipt to the Supplier within two (2) Working Days and the Call </w:t>
      </w:r>
      <w:proofErr w:type="gramStart"/>
      <w:r>
        <w:rPr>
          <w:rFonts w:ascii="Arial" w:eastAsia="Arial" w:hAnsi="Arial" w:cs="Arial"/>
          <w:color w:val="000000"/>
          <w:sz w:val="24"/>
          <w:szCs w:val="24"/>
        </w:rPr>
        <w:t>Off</w:t>
      </w:r>
      <w:proofErr w:type="gramEnd"/>
      <w:r>
        <w:rPr>
          <w:rFonts w:ascii="Arial" w:eastAsia="Arial" w:hAnsi="Arial" w:cs="Arial"/>
          <w:color w:val="000000"/>
          <w:sz w:val="24"/>
          <w:szCs w:val="24"/>
        </w:rPr>
        <w:t xml:space="preserve"> Contract shall be formed with effect from the Call Off Start Date stated in the Order Form.</w:t>
      </w:r>
    </w:p>
    <w:p w14:paraId="00000040" w14:textId="77777777" w:rsidR="004F060F" w:rsidRDefault="001B5B73">
      <w:pPr>
        <w:keepNext/>
        <w:widowControl/>
        <w:numPr>
          <w:ilvl w:val="0"/>
          <w:numId w:val="5"/>
        </w:numPr>
        <w:tabs>
          <w:tab w:val="left" w:pos="142"/>
        </w:tabs>
        <w:spacing w:before="120" w:after="240"/>
        <w:rPr>
          <w:rFonts w:ascii="Arial" w:eastAsia="Arial" w:hAnsi="Arial" w:cs="Arial"/>
          <w:smallCaps/>
          <w:color w:val="000000"/>
        </w:rPr>
      </w:pPr>
      <w:r>
        <w:rPr>
          <w:rFonts w:ascii="Arial Bold" w:eastAsia="Arial Bold" w:hAnsi="Arial Bold" w:cs="Arial Bold"/>
          <w:b/>
          <w:sz w:val="24"/>
          <w:szCs w:val="24"/>
        </w:rPr>
        <w:t>How e-auctions work</w:t>
      </w:r>
    </w:p>
    <w:p w14:paraId="00000041" w14:textId="77777777" w:rsidR="004F060F" w:rsidRDefault="001B5B73">
      <w:pPr>
        <w:widowControl/>
        <w:numPr>
          <w:ilvl w:val="1"/>
          <w:numId w:val="5"/>
        </w:numPr>
        <w:tabs>
          <w:tab w:val="left" w:pos="3054"/>
        </w:tabs>
        <w:spacing w:before="120" w:after="120"/>
        <w:rPr>
          <w:rFonts w:ascii="Arial" w:eastAsia="Arial" w:hAnsi="Arial" w:cs="Arial"/>
          <w:color w:val="000000"/>
        </w:rPr>
      </w:pPr>
      <w:r>
        <w:rPr>
          <w:rFonts w:ascii="Arial" w:eastAsia="Arial" w:hAnsi="Arial" w:cs="Arial"/>
          <w:sz w:val="24"/>
          <w:szCs w:val="24"/>
        </w:rPr>
        <w:t>The Buyer shall be entitled to include a reverse auction in the Further Competition Procedure in accordance with the rules laid down by the Buyer and the Regulations.</w:t>
      </w:r>
    </w:p>
    <w:p w14:paraId="00000042" w14:textId="77777777" w:rsidR="004F060F" w:rsidRDefault="001B5B73">
      <w:pPr>
        <w:widowControl/>
        <w:numPr>
          <w:ilvl w:val="1"/>
          <w:numId w:val="5"/>
        </w:numPr>
        <w:tabs>
          <w:tab w:val="left" w:pos="3054"/>
        </w:tabs>
        <w:spacing w:before="120" w:after="120"/>
        <w:rPr>
          <w:rFonts w:ascii="Arial" w:eastAsia="Arial" w:hAnsi="Arial" w:cs="Arial"/>
          <w:color w:val="000000"/>
        </w:rPr>
      </w:pPr>
      <w:bookmarkStart w:id="9" w:name="_heading=h.4d34og8" w:colFirst="0" w:colLast="0"/>
      <w:bookmarkEnd w:id="9"/>
      <w:r>
        <w:rPr>
          <w:rFonts w:ascii="Arial" w:eastAsia="Arial" w:hAnsi="Arial" w:cs="Arial"/>
          <w:sz w:val="24"/>
          <w:szCs w:val="24"/>
        </w:rPr>
        <w:t>Where Buyer wishes to undertake an electronic reverse auction, where Suppliers compete in real time by bidding as the auction unfolds (</w:t>
      </w:r>
      <w:r>
        <w:rPr>
          <w:rFonts w:ascii="Arial" w:eastAsia="Arial" w:hAnsi="Arial" w:cs="Arial"/>
          <w:b/>
          <w:sz w:val="24"/>
          <w:szCs w:val="24"/>
        </w:rPr>
        <w:t>"Electronic Reverse Auction"</w:t>
      </w:r>
      <w:r>
        <w:rPr>
          <w:rFonts w:ascii="Arial" w:eastAsia="Arial" w:hAnsi="Arial" w:cs="Arial"/>
          <w:sz w:val="24"/>
          <w:szCs w:val="24"/>
        </w:rPr>
        <w:t>) then before undertaking it, the Buyer will make an initial full evaluation of all tenders received in response to its Statement of Requirements. The Buyer will then invite to the Electronic Reverse Auction only those tenders that are admissible in accordance with the Regulations. The invitation shall be accompanied by the outcome of the full initial evaluation of the relevant tenders.</w:t>
      </w:r>
    </w:p>
    <w:p w14:paraId="00000043" w14:textId="77777777" w:rsidR="004F060F" w:rsidRDefault="001B5B73">
      <w:pPr>
        <w:keepNext/>
        <w:widowControl/>
        <w:numPr>
          <w:ilvl w:val="1"/>
          <w:numId w:val="5"/>
        </w:numPr>
        <w:tabs>
          <w:tab w:val="left" w:pos="3054"/>
        </w:tabs>
        <w:spacing w:before="120" w:after="120"/>
        <w:rPr>
          <w:rFonts w:ascii="Arial" w:eastAsia="Arial" w:hAnsi="Arial" w:cs="Arial"/>
          <w:color w:val="000000"/>
        </w:rPr>
      </w:pPr>
      <w:r>
        <w:rPr>
          <w:rFonts w:ascii="Arial" w:eastAsia="Arial" w:hAnsi="Arial" w:cs="Arial"/>
          <w:sz w:val="24"/>
          <w:szCs w:val="24"/>
        </w:rPr>
        <w:t>The Buyer will inform the Suppliers of the specification for the Electronic Reverse Auction which shall include:</w:t>
      </w:r>
    </w:p>
    <w:p w14:paraId="00000044"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the information to be provided at auction, which must be expressed in figures or percentages of the specified quantifiable features;</w:t>
      </w:r>
    </w:p>
    <w:p w14:paraId="00000045"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 xml:space="preserve">the mathematical formula to be used to determine automatic ranking of bids on the basis of new prices and/or new values submitted;  </w:t>
      </w:r>
    </w:p>
    <w:p w14:paraId="00000046"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any limits on the values which may be submitted;</w:t>
      </w:r>
    </w:p>
    <w:p w14:paraId="00000047"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a description of any information which will be made available to Suppliers in the course of the Electronic Reverse Auction, and when it will be made available to them;</w:t>
      </w:r>
    </w:p>
    <w:p w14:paraId="00000048" w14:textId="77777777" w:rsidR="004F060F" w:rsidRDefault="001B5B73">
      <w:pPr>
        <w:widowControl/>
        <w:numPr>
          <w:ilvl w:val="3"/>
          <w:numId w:val="5"/>
        </w:numPr>
        <w:tabs>
          <w:tab w:val="left" w:pos="3641"/>
        </w:tabs>
        <w:spacing w:before="120" w:after="120"/>
        <w:rPr>
          <w:rFonts w:ascii="Arial" w:eastAsia="Arial" w:hAnsi="Arial" w:cs="Arial"/>
          <w:color w:val="000000"/>
        </w:rPr>
      </w:pPr>
      <w:bookmarkStart w:id="10" w:name="_heading=h.2s8eyo1" w:colFirst="0" w:colLast="0"/>
      <w:bookmarkEnd w:id="10"/>
      <w:r>
        <w:rPr>
          <w:rFonts w:ascii="Arial" w:eastAsia="Arial" w:hAnsi="Arial" w:cs="Arial"/>
          <w:sz w:val="24"/>
          <w:szCs w:val="24"/>
        </w:rPr>
        <w:t>the conditions under which Suppliers will be able to bid and, in particular, the minimum differences which will, where appropriate, be required when bidding;</w:t>
      </w:r>
    </w:p>
    <w:p w14:paraId="00000049"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relevant information concerning the electronic equipment used and the arrangements and technical specification for connection;</w:t>
      </w:r>
    </w:p>
    <w:p w14:paraId="0000004A"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subject to Paragraph 7.5, the date and time of the start of the Electronic Reverse Auction; and</w:t>
      </w:r>
    </w:p>
    <w:p w14:paraId="0000004B" w14:textId="77777777" w:rsidR="004F060F" w:rsidRDefault="001B5B73">
      <w:pPr>
        <w:widowControl/>
        <w:numPr>
          <w:ilvl w:val="3"/>
          <w:numId w:val="5"/>
        </w:numPr>
        <w:tabs>
          <w:tab w:val="left" w:pos="3641"/>
        </w:tabs>
        <w:spacing w:before="120" w:after="120"/>
        <w:rPr>
          <w:rFonts w:ascii="Arial" w:eastAsia="Arial" w:hAnsi="Arial" w:cs="Arial"/>
          <w:color w:val="000000"/>
        </w:rPr>
      </w:pPr>
      <w:proofErr w:type="gramStart"/>
      <w:r>
        <w:rPr>
          <w:rFonts w:ascii="Arial" w:eastAsia="Arial" w:hAnsi="Arial" w:cs="Arial"/>
          <w:sz w:val="24"/>
          <w:szCs w:val="24"/>
        </w:rPr>
        <w:t>details</w:t>
      </w:r>
      <w:proofErr w:type="gramEnd"/>
      <w:r>
        <w:rPr>
          <w:rFonts w:ascii="Arial" w:eastAsia="Arial" w:hAnsi="Arial" w:cs="Arial"/>
          <w:sz w:val="24"/>
          <w:szCs w:val="24"/>
        </w:rPr>
        <w:t xml:space="preserve"> of when and how the Electronic Reverse Auction will close.</w:t>
      </w:r>
    </w:p>
    <w:p w14:paraId="0000004C" w14:textId="77777777" w:rsidR="004F060F" w:rsidRDefault="001B5B73">
      <w:pPr>
        <w:widowControl/>
        <w:numPr>
          <w:ilvl w:val="1"/>
          <w:numId w:val="5"/>
        </w:numPr>
        <w:tabs>
          <w:tab w:val="left" w:pos="3054"/>
        </w:tabs>
        <w:spacing w:before="120" w:after="120"/>
        <w:rPr>
          <w:rFonts w:ascii="Arial" w:eastAsia="Arial" w:hAnsi="Arial" w:cs="Arial"/>
          <w:color w:val="000000"/>
        </w:rPr>
      </w:pPr>
      <w:bookmarkStart w:id="11" w:name="_heading=h.17dp8vu" w:colFirst="0" w:colLast="0"/>
      <w:bookmarkEnd w:id="11"/>
      <w:r>
        <w:rPr>
          <w:rFonts w:ascii="Arial" w:eastAsia="Arial" w:hAnsi="Arial" w:cs="Arial"/>
          <w:sz w:val="24"/>
          <w:szCs w:val="24"/>
        </w:rPr>
        <w:t>The Electronic Reverse Auction may not start sooner than two (2) Working Days after the date on which the specification for the Electronic Reverse Auction has been issued.</w:t>
      </w:r>
    </w:p>
    <w:p w14:paraId="0000004D" w14:textId="77777777" w:rsidR="004F060F" w:rsidRDefault="001B5B73">
      <w:pPr>
        <w:widowControl/>
        <w:numPr>
          <w:ilvl w:val="1"/>
          <w:numId w:val="5"/>
        </w:numPr>
        <w:tabs>
          <w:tab w:val="left" w:pos="3054"/>
        </w:tabs>
        <w:spacing w:before="120" w:after="120"/>
        <w:rPr>
          <w:rFonts w:ascii="Arial" w:eastAsia="Arial" w:hAnsi="Arial" w:cs="Arial"/>
          <w:color w:val="000000"/>
        </w:rPr>
      </w:pPr>
      <w:r>
        <w:rPr>
          <w:rFonts w:ascii="Arial" w:eastAsia="Arial" w:hAnsi="Arial" w:cs="Arial"/>
          <w:sz w:val="24"/>
          <w:szCs w:val="24"/>
        </w:rPr>
        <w:lastRenderedPageBreak/>
        <w:t>Throughout each phase of the Electronic Reverse Auction the Buyer will communicate to all Suppliers sufficient information to enable them to ascertain their relative ranking.</w:t>
      </w:r>
    </w:p>
    <w:p w14:paraId="0000004E" w14:textId="77777777" w:rsidR="004F060F" w:rsidRDefault="001B5B73">
      <w:pPr>
        <w:keepNext/>
        <w:widowControl/>
        <w:numPr>
          <w:ilvl w:val="1"/>
          <w:numId w:val="5"/>
        </w:numPr>
        <w:tabs>
          <w:tab w:val="left" w:pos="3054"/>
        </w:tabs>
        <w:spacing w:before="120" w:after="120"/>
        <w:rPr>
          <w:rFonts w:ascii="Arial" w:eastAsia="Arial" w:hAnsi="Arial" w:cs="Arial"/>
          <w:color w:val="000000"/>
        </w:rPr>
      </w:pPr>
      <w:r>
        <w:rPr>
          <w:rFonts w:ascii="Arial" w:eastAsia="Arial" w:hAnsi="Arial" w:cs="Arial"/>
          <w:sz w:val="24"/>
          <w:szCs w:val="24"/>
        </w:rPr>
        <w:t>The Supplier acknowledges and agrees that:</w:t>
      </w:r>
    </w:p>
    <w:p w14:paraId="0000004F"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the Buyer and its officers, servants, agents, group companies, assignees and customers (including CCS) do not guarantee that its access to the Electronic Reverse Auction will be uninterrupted or error-free;</w:t>
      </w:r>
    </w:p>
    <w:p w14:paraId="00000050"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its access to the Electronic Reverse Auction may occasionally be restricted to allow for repairs or maintenance; and</w:t>
      </w:r>
    </w:p>
    <w:p w14:paraId="00000051" w14:textId="77777777" w:rsidR="004F060F" w:rsidRDefault="001B5B73">
      <w:pPr>
        <w:widowControl/>
        <w:numPr>
          <w:ilvl w:val="3"/>
          <w:numId w:val="5"/>
        </w:numPr>
        <w:tabs>
          <w:tab w:val="left" w:pos="3641"/>
        </w:tabs>
        <w:spacing w:before="120" w:after="120"/>
        <w:rPr>
          <w:rFonts w:ascii="Arial" w:eastAsia="Arial" w:hAnsi="Arial" w:cs="Arial"/>
          <w:color w:val="000000"/>
        </w:rPr>
      </w:pPr>
      <w:proofErr w:type="gramStart"/>
      <w:r>
        <w:rPr>
          <w:rFonts w:ascii="Arial" w:eastAsia="Arial" w:hAnsi="Arial" w:cs="Arial"/>
          <w:sz w:val="24"/>
          <w:szCs w:val="24"/>
        </w:rPr>
        <w:t>it</w:t>
      </w:r>
      <w:proofErr w:type="gramEnd"/>
      <w:r>
        <w:rPr>
          <w:rFonts w:ascii="Arial" w:eastAsia="Arial" w:hAnsi="Arial" w:cs="Arial"/>
          <w:sz w:val="24"/>
          <w:szCs w:val="24"/>
        </w:rPr>
        <w:t xml:space="preserve"> will comply with all such rules that may be imposed by the Buyer in relation to the operation of the Electronic Reverse Auction.</w:t>
      </w:r>
    </w:p>
    <w:p w14:paraId="00000052" w14:textId="77777777" w:rsidR="004F060F" w:rsidRDefault="001B5B73">
      <w:pPr>
        <w:keepNext/>
        <w:widowControl/>
        <w:numPr>
          <w:ilvl w:val="1"/>
          <w:numId w:val="5"/>
        </w:numPr>
        <w:tabs>
          <w:tab w:val="left" w:pos="3054"/>
        </w:tabs>
        <w:spacing w:before="120" w:after="120"/>
        <w:rPr>
          <w:rFonts w:ascii="Arial" w:eastAsia="Arial" w:hAnsi="Arial" w:cs="Arial"/>
          <w:color w:val="000000"/>
        </w:rPr>
      </w:pPr>
      <w:r>
        <w:rPr>
          <w:rFonts w:ascii="Arial" w:eastAsia="Arial" w:hAnsi="Arial" w:cs="Arial"/>
          <w:sz w:val="24"/>
          <w:szCs w:val="24"/>
        </w:rPr>
        <w:t>The Buyer will close the Electronic Reverse Auction on the basis of:</w:t>
      </w:r>
    </w:p>
    <w:p w14:paraId="00000053"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a date and time fixed in advance;</w:t>
      </w:r>
    </w:p>
    <w:p w14:paraId="00000054" w14:textId="77777777" w:rsidR="004F060F" w:rsidRDefault="001B5B73">
      <w:pPr>
        <w:widowControl/>
        <w:numPr>
          <w:ilvl w:val="3"/>
          <w:numId w:val="5"/>
        </w:numPr>
        <w:tabs>
          <w:tab w:val="left" w:pos="3641"/>
        </w:tabs>
        <w:spacing w:before="120" w:after="120"/>
        <w:rPr>
          <w:rFonts w:ascii="Arial" w:eastAsia="Arial" w:hAnsi="Arial" w:cs="Arial"/>
          <w:color w:val="000000"/>
        </w:rPr>
      </w:pPr>
      <w:r>
        <w:rPr>
          <w:rFonts w:ascii="Arial" w:eastAsia="Arial" w:hAnsi="Arial" w:cs="Arial"/>
          <w:sz w:val="24"/>
          <w:szCs w:val="24"/>
        </w:rPr>
        <w:t>when no new prices or values meeting the minimum differences required pursuant to Paragraph 7.3 have been received within the prescribed elapsed time period; or</w:t>
      </w:r>
    </w:p>
    <w:p w14:paraId="00000055" w14:textId="13ADBC42" w:rsidR="004F060F" w:rsidRDefault="001B5B73">
      <w:pPr>
        <w:widowControl/>
        <w:numPr>
          <w:ilvl w:val="2"/>
          <w:numId w:val="5"/>
        </w:numPr>
        <w:tabs>
          <w:tab w:val="left" w:pos="3641"/>
        </w:tabs>
        <w:spacing w:before="120" w:after="120"/>
        <w:rPr>
          <w:rFonts w:ascii="Arial" w:eastAsia="Arial" w:hAnsi="Arial" w:cs="Arial"/>
          <w:color w:val="000000"/>
        </w:rPr>
      </w:pPr>
      <w:proofErr w:type="gramStart"/>
      <w:r>
        <w:rPr>
          <w:rFonts w:ascii="Arial" w:eastAsia="Arial" w:hAnsi="Arial" w:cs="Arial"/>
          <w:sz w:val="24"/>
          <w:szCs w:val="24"/>
        </w:rPr>
        <w:t>when</w:t>
      </w:r>
      <w:proofErr w:type="gramEnd"/>
      <w:r>
        <w:rPr>
          <w:rFonts w:ascii="Arial" w:eastAsia="Arial" w:hAnsi="Arial" w:cs="Arial"/>
          <w:sz w:val="24"/>
          <w:szCs w:val="24"/>
        </w:rPr>
        <w:t xml:space="preserve"> all </w:t>
      </w:r>
      <w:r w:rsidR="008902BB">
        <w:rPr>
          <w:rFonts w:ascii="Arial" w:eastAsia="Arial" w:hAnsi="Arial" w:cs="Arial"/>
          <w:sz w:val="24"/>
          <w:szCs w:val="24"/>
        </w:rPr>
        <w:t>the phases have been completed.</w:t>
      </w:r>
      <w:r>
        <w:br w:type="page"/>
      </w:r>
    </w:p>
    <w:p w14:paraId="00000056" w14:textId="77777777" w:rsidR="004F060F" w:rsidRDefault="004F060F">
      <w:pPr>
        <w:widowControl/>
        <w:tabs>
          <w:tab w:val="left" w:pos="3641"/>
        </w:tabs>
        <w:spacing w:before="120" w:after="120"/>
        <w:ind w:left="2610"/>
        <w:rPr>
          <w:rFonts w:ascii="Arial" w:eastAsia="Arial" w:hAnsi="Arial" w:cs="Arial"/>
          <w:sz w:val="24"/>
          <w:szCs w:val="24"/>
        </w:rPr>
      </w:pPr>
    </w:p>
    <w:p w14:paraId="00000057" w14:textId="77777777" w:rsidR="004F060F" w:rsidRDefault="004F060F">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24"/>
          <w:szCs w:val="24"/>
        </w:rPr>
      </w:pPr>
    </w:p>
    <w:p w14:paraId="00000058" w14:textId="77777777" w:rsidR="004F060F" w:rsidRDefault="001B5B73">
      <w:pPr>
        <w:widowControl/>
        <w:pBdr>
          <w:top w:val="nil"/>
          <w:left w:val="nil"/>
          <w:bottom w:val="nil"/>
          <w:right w:val="nil"/>
          <w:between w:val="nil"/>
        </w:pBdr>
        <w:tabs>
          <w:tab w:val="left" w:pos="3054"/>
        </w:tabs>
        <w:spacing w:before="120" w:after="120"/>
        <w:ind w:left="936" w:hanging="576"/>
        <w:rPr>
          <w:rFonts w:ascii="Arial" w:eastAsia="Arial" w:hAnsi="Arial" w:cs="Arial"/>
          <w:color w:val="000000"/>
          <w:sz w:val="36"/>
          <w:szCs w:val="36"/>
        </w:rPr>
      </w:pPr>
      <w:r>
        <w:rPr>
          <w:rFonts w:ascii="Arial" w:eastAsia="Arial" w:hAnsi="Arial" w:cs="Arial"/>
          <w:b/>
          <w:color w:val="000000"/>
          <w:sz w:val="36"/>
          <w:szCs w:val="36"/>
        </w:rPr>
        <w:t>Part 2: Award Criteria</w:t>
      </w:r>
    </w:p>
    <w:p w14:paraId="00000059" w14:textId="77777777" w:rsidR="004F060F" w:rsidRDefault="001B5B73">
      <w:pPr>
        <w:widowControl/>
        <w:numPr>
          <w:ilvl w:val="0"/>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This Part 2 lays out award criteria for direct award (Annex A) and for further competition (Annex B) in accordance with the Call-Off Procedure.</w:t>
      </w:r>
    </w:p>
    <w:p w14:paraId="0000005A" w14:textId="77777777" w:rsidR="004F060F" w:rsidRDefault="001B5B73">
      <w:pPr>
        <w:widowControl/>
        <w:numPr>
          <w:ilvl w:val="0"/>
          <w:numId w:val="7"/>
        </w:numPr>
        <w:pBdr>
          <w:top w:val="nil"/>
          <w:left w:val="nil"/>
          <w:bottom w:val="nil"/>
          <w:right w:val="nil"/>
          <w:between w:val="nil"/>
        </w:pBdr>
        <w:tabs>
          <w:tab w:val="left" w:pos="3054"/>
        </w:tabs>
        <w:spacing w:before="120" w:after="120"/>
        <w:rPr>
          <w:rFonts w:ascii="Arial" w:eastAsia="Arial" w:hAnsi="Arial" w:cs="Arial"/>
          <w:color w:val="000000"/>
          <w:sz w:val="24"/>
          <w:szCs w:val="24"/>
        </w:rPr>
      </w:pPr>
      <w:r>
        <w:rPr>
          <w:rFonts w:ascii="Arial" w:eastAsia="Arial" w:hAnsi="Arial" w:cs="Arial"/>
          <w:color w:val="000000"/>
          <w:sz w:val="24"/>
          <w:szCs w:val="24"/>
        </w:rPr>
        <w:t>A Call-Off Contract may be awarded on the basis of most economically advantageous tender ("MEAT").</w:t>
      </w:r>
    </w:p>
    <w:p w14:paraId="0000005B" w14:textId="77777777" w:rsidR="004F060F" w:rsidRDefault="001B5B73">
      <w:pPr>
        <w:rPr>
          <w:rFonts w:ascii="Arial" w:eastAsia="Arial" w:hAnsi="Arial" w:cs="Arial"/>
          <w:b/>
          <w:smallCaps/>
          <w:sz w:val="24"/>
          <w:szCs w:val="24"/>
        </w:rPr>
      </w:pPr>
      <w:r>
        <w:br w:type="page"/>
      </w:r>
    </w:p>
    <w:p w14:paraId="0000005C" w14:textId="77777777" w:rsidR="004F060F" w:rsidRDefault="008D70B1">
      <w:pPr>
        <w:keepNext/>
        <w:widowControl/>
        <w:pBdr>
          <w:top w:val="nil"/>
          <w:left w:val="nil"/>
          <w:bottom w:val="nil"/>
          <w:right w:val="nil"/>
          <w:between w:val="nil"/>
        </w:pBdr>
        <w:spacing w:before="240" w:after="240"/>
        <w:ind w:firstLine="426"/>
        <w:rPr>
          <w:rFonts w:ascii="Arial Bold" w:eastAsia="Arial Bold" w:hAnsi="Arial Bold" w:cs="Arial Bold"/>
          <w:b/>
          <w:color w:val="000000"/>
          <w:sz w:val="36"/>
          <w:szCs w:val="36"/>
        </w:rPr>
      </w:pPr>
      <w:sdt>
        <w:sdtPr>
          <w:tag w:val="goog_rdk_0"/>
          <w:id w:val="1105542400"/>
        </w:sdtPr>
        <w:sdtEndPr/>
        <w:sdtContent/>
      </w:sdt>
      <w:r w:rsidR="001B5B73">
        <w:rPr>
          <w:rFonts w:ascii="Arial Bold" w:eastAsia="Arial Bold" w:hAnsi="Arial Bold" w:cs="Arial Bold"/>
          <w:b/>
          <w:color w:val="000000"/>
          <w:sz w:val="36"/>
          <w:szCs w:val="36"/>
        </w:rPr>
        <w:t>Annex A: Direct award criteria</w:t>
      </w:r>
    </w:p>
    <w:p w14:paraId="0000005D" w14:textId="77777777" w:rsidR="004F060F" w:rsidRDefault="001B5B73">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for direct award of each Call-Off.</w:t>
      </w:r>
    </w:p>
    <w:tbl>
      <w:tblPr>
        <w:tblStyle w:val="a"/>
        <w:tblW w:w="921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975"/>
        <w:gridCol w:w="5235"/>
      </w:tblGrid>
      <w:tr w:rsidR="004F060F" w14:paraId="48871D43" w14:textId="77777777">
        <w:tc>
          <w:tcPr>
            <w:tcW w:w="3975" w:type="dxa"/>
            <w:shd w:val="clear" w:color="auto" w:fill="E7E6E6"/>
          </w:tcPr>
          <w:p w14:paraId="0000005E" w14:textId="77777777" w:rsidR="004F060F" w:rsidRDefault="001B5B73">
            <w:pPr>
              <w:keepNext/>
              <w:widowControl/>
              <w:pBdr>
                <w:top w:val="nil"/>
                <w:left w:val="nil"/>
                <w:bottom w:val="nil"/>
                <w:right w:val="nil"/>
                <w:between w:val="nil"/>
              </w:pBdr>
              <w:spacing w:before="120" w:after="120"/>
              <w:ind w:left="142"/>
              <w:jc w:val="both"/>
              <w:rPr>
                <w:rFonts w:ascii="Arial" w:eastAsia="Arial" w:hAnsi="Arial" w:cs="Arial"/>
                <w:b/>
                <w:color w:val="000000"/>
                <w:sz w:val="24"/>
                <w:szCs w:val="24"/>
              </w:rPr>
            </w:pPr>
            <w:r>
              <w:rPr>
                <w:rFonts w:ascii="Arial" w:eastAsia="Arial" w:hAnsi="Arial" w:cs="Arial"/>
                <w:b/>
                <w:color w:val="000000"/>
                <w:sz w:val="24"/>
                <w:szCs w:val="24"/>
              </w:rPr>
              <w:t xml:space="preserve">Criteria </w:t>
            </w:r>
          </w:p>
        </w:tc>
        <w:tc>
          <w:tcPr>
            <w:tcW w:w="5235" w:type="dxa"/>
            <w:shd w:val="clear" w:color="auto" w:fill="E7E6E6"/>
          </w:tcPr>
          <w:p w14:paraId="0000005F" w14:textId="77777777" w:rsidR="004F060F" w:rsidRDefault="001B5B73">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14:paraId="00000060" w14:textId="77777777" w:rsidR="004F060F" w:rsidRDefault="001B5B73">
            <w:pPr>
              <w:widowControl/>
              <w:spacing w:before="120" w:after="200" w:line="276" w:lineRule="auto"/>
              <w:rPr>
                <w:rFonts w:ascii="Arial" w:eastAsia="Arial" w:hAnsi="Arial" w:cs="Arial"/>
                <w:sz w:val="24"/>
                <w:szCs w:val="24"/>
              </w:rPr>
            </w:pPr>
            <w:r>
              <w:rPr>
                <w:rFonts w:ascii="Arial" w:eastAsia="Arial" w:hAnsi="Arial" w:cs="Arial"/>
                <w:sz w:val="24"/>
                <w:szCs w:val="24"/>
              </w:rPr>
              <w:t>1 equals most important, 2 equals second most important</w:t>
            </w:r>
          </w:p>
          <w:p w14:paraId="00000061" w14:textId="77777777" w:rsidR="004F060F" w:rsidRDefault="004F060F">
            <w:pPr>
              <w:widowControl/>
              <w:spacing w:after="200" w:line="276" w:lineRule="auto"/>
              <w:rPr>
                <w:rFonts w:ascii="Arial" w:eastAsia="Arial" w:hAnsi="Arial" w:cs="Arial"/>
                <w:b/>
                <w:sz w:val="24"/>
                <w:szCs w:val="24"/>
              </w:rPr>
            </w:pPr>
          </w:p>
        </w:tc>
      </w:tr>
      <w:tr w:rsidR="004F060F" w14:paraId="027A7906" w14:textId="77777777">
        <w:tc>
          <w:tcPr>
            <w:tcW w:w="3975" w:type="dxa"/>
          </w:tcPr>
          <w:p w14:paraId="00000062" w14:textId="77777777" w:rsidR="004F060F" w:rsidRDefault="001B5B73">
            <w:pPr>
              <w:keepNext/>
              <w:widowControl/>
              <w:numPr>
                <w:ilvl w:val="0"/>
                <w:numId w:val="4"/>
              </w:numPr>
              <w:spacing w:before="240"/>
              <w:jc w:val="both"/>
              <w:rPr>
                <w:rFonts w:ascii="Arial" w:eastAsia="Arial" w:hAnsi="Arial" w:cs="Arial"/>
                <w:sz w:val="24"/>
                <w:szCs w:val="24"/>
                <w:highlight w:val="white"/>
              </w:rPr>
            </w:pPr>
            <w:r>
              <w:rPr>
                <w:rFonts w:ascii="Arial" w:eastAsia="Arial" w:hAnsi="Arial" w:cs="Arial"/>
                <w:sz w:val="24"/>
                <w:szCs w:val="24"/>
                <w:highlight w:val="white"/>
              </w:rPr>
              <w:t>Quality:</w:t>
            </w:r>
          </w:p>
          <w:p w14:paraId="00000063" w14:textId="77777777" w:rsidR="004F060F" w:rsidRDefault="001B5B73">
            <w:pPr>
              <w:keepNext/>
              <w:widowControl/>
              <w:numPr>
                <w:ilvl w:val="0"/>
                <w:numId w:val="1"/>
              </w:numPr>
              <w:spacing w:after="120"/>
              <w:jc w:val="both"/>
              <w:rPr>
                <w:rFonts w:ascii="Arial" w:eastAsia="Arial" w:hAnsi="Arial" w:cs="Arial"/>
                <w:sz w:val="24"/>
                <w:szCs w:val="24"/>
                <w:highlight w:val="white"/>
              </w:rPr>
            </w:pPr>
            <w:r>
              <w:rPr>
                <w:rFonts w:ascii="Arial" w:eastAsia="Arial" w:hAnsi="Arial" w:cs="Arial"/>
                <w:sz w:val="24"/>
                <w:szCs w:val="24"/>
                <w:highlight w:val="white"/>
              </w:rPr>
              <w:t>Quality evaluations took place for all suppliers</w:t>
            </w:r>
          </w:p>
        </w:tc>
        <w:tc>
          <w:tcPr>
            <w:tcW w:w="5235" w:type="dxa"/>
          </w:tcPr>
          <w:p w14:paraId="00000064" w14:textId="77777777" w:rsidR="004F060F" w:rsidRDefault="001B5B73">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70%</w:t>
            </w:r>
          </w:p>
        </w:tc>
      </w:tr>
      <w:tr w:rsidR="004F060F" w14:paraId="2F817AF3" w14:textId="77777777">
        <w:tc>
          <w:tcPr>
            <w:tcW w:w="3975" w:type="dxa"/>
          </w:tcPr>
          <w:p w14:paraId="00000065" w14:textId="77777777" w:rsidR="004F060F" w:rsidRDefault="001B5B73">
            <w:pPr>
              <w:keepNext/>
              <w:widowControl/>
              <w:numPr>
                <w:ilvl w:val="0"/>
                <w:numId w:val="4"/>
              </w:numPr>
              <w:spacing w:before="240"/>
              <w:jc w:val="both"/>
              <w:rPr>
                <w:rFonts w:ascii="Arial" w:eastAsia="Arial" w:hAnsi="Arial" w:cs="Arial"/>
                <w:sz w:val="24"/>
                <w:szCs w:val="24"/>
                <w:highlight w:val="white"/>
              </w:rPr>
            </w:pPr>
            <w:r>
              <w:rPr>
                <w:rFonts w:ascii="Arial" w:eastAsia="Arial" w:hAnsi="Arial" w:cs="Arial"/>
                <w:sz w:val="24"/>
                <w:szCs w:val="24"/>
                <w:highlight w:val="white"/>
              </w:rPr>
              <w:t xml:space="preserve">Price: </w:t>
            </w:r>
          </w:p>
          <w:p w14:paraId="00000066" w14:textId="77777777" w:rsidR="004F060F" w:rsidRDefault="001B5B73">
            <w:pPr>
              <w:keepNext/>
              <w:widowControl/>
              <w:numPr>
                <w:ilvl w:val="0"/>
                <w:numId w:val="2"/>
              </w:numPr>
              <w:spacing w:after="120"/>
              <w:jc w:val="both"/>
              <w:rPr>
                <w:rFonts w:ascii="Arial" w:eastAsia="Arial" w:hAnsi="Arial" w:cs="Arial"/>
                <w:sz w:val="24"/>
                <w:szCs w:val="24"/>
                <w:highlight w:val="white"/>
              </w:rPr>
            </w:pPr>
            <w:r>
              <w:rPr>
                <w:rFonts w:ascii="Arial" w:eastAsia="Arial" w:hAnsi="Arial" w:cs="Arial"/>
                <w:sz w:val="24"/>
                <w:szCs w:val="24"/>
                <w:highlight w:val="white"/>
              </w:rPr>
              <w:t>Maximum prices for related services have been provided by suppliers</w:t>
            </w:r>
          </w:p>
        </w:tc>
        <w:tc>
          <w:tcPr>
            <w:tcW w:w="5235" w:type="dxa"/>
          </w:tcPr>
          <w:p w14:paraId="00000067" w14:textId="77777777" w:rsidR="004F060F" w:rsidRDefault="001B5B73">
            <w:pPr>
              <w:keepNext/>
              <w:widowControl/>
              <w:spacing w:before="240" w:after="120"/>
              <w:ind w:left="142"/>
              <w:jc w:val="both"/>
              <w:rPr>
                <w:rFonts w:ascii="Arial" w:eastAsia="Arial" w:hAnsi="Arial" w:cs="Arial"/>
                <w:sz w:val="24"/>
                <w:szCs w:val="24"/>
                <w:highlight w:val="white"/>
              </w:rPr>
            </w:pPr>
            <w:r>
              <w:rPr>
                <w:rFonts w:ascii="Arial" w:eastAsia="Arial" w:hAnsi="Arial" w:cs="Arial"/>
                <w:sz w:val="24"/>
                <w:szCs w:val="24"/>
                <w:highlight w:val="white"/>
              </w:rPr>
              <w:t>30%</w:t>
            </w:r>
          </w:p>
        </w:tc>
      </w:tr>
    </w:tbl>
    <w:p w14:paraId="00000068" w14:textId="77777777" w:rsidR="004F060F" w:rsidRDefault="004F060F">
      <w:pPr>
        <w:widowControl/>
        <w:pBdr>
          <w:top w:val="nil"/>
          <w:left w:val="nil"/>
          <w:bottom w:val="nil"/>
          <w:right w:val="nil"/>
          <w:between w:val="nil"/>
        </w:pBdr>
        <w:ind w:left="1080"/>
        <w:jc w:val="both"/>
        <w:rPr>
          <w:rFonts w:ascii="Arial" w:eastAsia="Arial" w:hAnsi="Arial" w:cs="Arial"/>
          <w:color w:val="FFFFFF"/>
          <w:sz w:val="24"/>
          <w:szCs w:val="24"/>
        </w:rPr>
      </w:pPr>
    </w:p>
    <w:p w14:paraId="00000069" w14:textId="77777777" w:rsidR="004F060F" w:rsidRDefault="001B5B73">
      <w:pPr>
        <w:keepNext/>
        <w:widowControl/>
        <w:pBdr>
          <w:top w:val="nil"/>
          <w:left w:val="nil"/>
          <w:bottom w:val="nil"/>
          <w:right w:val="nil"/>
          <w:between w:val="nil"/>
        </w:pBdr>
        <w:spacing w:before="240" w:after="24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lastRenderedPageBreak/>
        <w:t>Annex B: Further Competition Award Criteria</w:t>
      </w:r>
    </w:p>
    <w:p w14:paraId="0000006A" w14:textId="77777777" w:rsidR="004F060F" w:rsidRDefault="001B5B73">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r>
        <w:rPr>
          <w:rFonts w:ascii="Arial" w:eastAsia="Arial" w:hAnsi="Arial" w:cs="Arial"/>
          <w:color w:val="000000"/>
          <w:sz w:val="24"/>
          <w:szCs w:val="24"/>
        </w:rPr>
        <w:t>The following criteria and weightings shall apply to the evaluation of tenders received through the Further Competition Procedure:</w:t>
      </w:r>
    </w:p>
    <w:tbl>
      <w:tblPr>
        <w:tblStyle w:val="a0"/>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F060F" w14:paraId="155696B9" w14:textId="77777777">
        <w:tc>
          <w:tcPr>
            <w:tcW w:w="4508" w:type="dxa"/>
            <w:shd w:val="clear" w:color="auto" w:fill="E7E6E6"/>
          </w:tcPr>
          <w:p w14:paraId="0000006B" w14:textId="77777777" w:rsidR="004F060F" w:rsidRDefault="001B5B73">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rPr>
            </w:pPr>
            <w:r>
              <w:rPr>
                <w:rFonts w:ascii="Arial" w:eastAsia="Arial" w:hAnsi="Arial" w:cs="Arial"/>
                <w:b/>
                <w:color w:val="000000"/>
                <w:sz w:val="24"/>
                <w:szCs w:val="24"/>
              </w:rPr>
              <w:t>Criteria</w:t>
            </w:r>
          </w:p>
        </w:tc>
        <w:tc>
          <w:tcPr>
            <w:tcW w:w="4508" w:type="dxa"/>
            <w:shd w:val="clear" w:color="auto" w:fill="E7E6E6"/>
          </w:tcPr>
          <w:p w14:paraId="0000006C" w14:textId="77777777" w:rsidR="004F060F" w:rsidRDefault="001B5B73">
            <w:pPr>
              <w:widowControl/>
              <w:spacing w:before="120" w:after="200" w:line="276" w:lineRule="auto"/>
              <w:rPr>
                <w:rFonts w:ascii="Arial" w:eastAsia="Arial" w:hAnsi="Arial" w:cs="Arial"/>
                <w:b/>
                <w:sz w:val="24"/>
                <w:szCs w:val="24"/>
              </w:rPr>
            </w:pPr>
            <w:r>
              <w:rPr>
                <w:rFonts w:ascii="Arial" w:eastAsia="Arial" w:hAnsi="Arial" w:cs="Arial"/>
                <w:b/>
                <w:sz w:val="24"/>
                <w:szCs w:val="24"/>
              </w:rPr>
              <w:t xml:space="preserve">Relative weighting percentage </w:t>
            </w:r>
          </w:p>
          <w:p w14:paraId="0000006D" w14:textId="77777777" w:rsidR="004F060F" w:rsidRDefault="001B5B73">
            <w:pPr>
              <w:widowControl/>
              <w:spacing w:before="120" w:after="200" w:line="276" w:lineRule="auto"/>
              <w:rPr>
                <w:rFonts w:ascii="Arial" w:eastAsia="Arial" w:hAnsi="Arial" w:cs="Arial"/>
                <w:sz w:val="24"/>
                <w:szCs w:val="24"/>
              </w:rPr>
            </w:pPr>
            <w:r>
              <w:rPr>
                <w:rFonts w:ascii="Arial" w:eastAsia="Arial" w:hAnsi="Arial" w:cs="Arial"/>
                <w:sz w:val="24"/>
                <w:szCs w:val="24"/>
              </w:rPr>
              <w:t>(</w:t>
            </w:r>
            <w:proofErr w:type="gramStart"/>
            <w:r>
              <w:rPr>
                <w:rFonts w:ascii="Arial" w:eastAsia="Arial" w:hAnsi="Arial" w:cs="Arial"/>
                <w:sz w:val="24"/>
                <w:szCs w:val="24"/>
              </w:rPr>
              <w:t>to</w:t>
            </w:r>
            <w:proofErr w:type="gramEnd"/>
            <w:r>
              <w:rPr>
                <w:rFonts w:ascii="Arial" w:eastAsia="Arial" w:hAnsi="Arial" w:cs="Arial"/>
                <w:sz w:val="24"/>
                <w:szCs w:val="24"/>
              </w:rPr>
              <w:t xml:space="preserve"> equal 100%)</w:t>
            </w:r>
          </w:p>
          <w:p w14:paraId="0000006E" w14:textId="77777777" w:rsidR="004F060F" w:rsidRDefault="004F060F">
            <w:pPr>
              <w:widowControl/>
              <w:pBdr>
                <w:top w:val="nil"/>
                <w:left w:val="nil"/>
                <w:bottom w:val="nil"/>
                <w:right w:val="nil"/>
                <w:between w:val="nil"/>
              </w:pBdr>
              <w:tabs>
                <w:tab w:val="left" w:pos="851"/>
              </w:tabs>
              <w:spacing w:after="240"/>
              <w:jc w:val="both"/>
              <w:rPr>
                <w:rFonts w:ascii="Arial" w:eastAsia="Arial" w:hAnsi="Arial" w:cs="Arial"/>
                <w:color w:val="000000"/>
                <w:sz w:val="24"/>
                <w:szCs w:val="24"/>
              </w:rPr>
            </w:pPr>
          </w:p>
        </w:tc>
      </w:tr>
      <w:tr w:rsidR="004F060F" w14:paraId="35E0E48A" w14:textId="77777777">
        <w:tc>
          <w:tcPr>
            <w:tcW w:w="4508" w:type="dxa"/>
          </w:tcPr>
          <w:p w14:paraId="0000006F" w14:textId="77777777" w:rsidR="004F060F" w:rsidRDefault="001B5B73">
            <w:pPr>
              <w:keepNext/>
              <w:widowControl/>
              <w:pBdr>
                <w:top w:val="nil"/>
                <w:left w:val="nil"/>
                <w:bottom w:val="nil"/>
                <w:right w:val="nil"/>
                <w:between w:val="nil"/>
              </w:pBdr>
              <w:spacing w:before="120" w:after="120"/>
              <w:ind w:left="142"/>
              <w:rPr>
                <w:rFonts w:ascii="Arial" w:eastAsia="Arial" w:hAnsi="Arial" w:cs="Arial"/>
                <w:color w:val="000000"/>
                <w:sz w:val="24"/>
                <w:szCs w:val="24"/>
                <w:highlight w:val="white"/>
              </w:rPr>
            </w:pPr>
            <w:r>
              <w:rPr>
                <w:rFonts w:ascii="Arial" w:eastAsia="Arial" w:hAnsi="Arial" w:cs="Arial"/>
                <w:color w:val="000000"/>
                <w:sz w:val="24"/>
                <w:szCs w:val="24"/>
                <w:highlight w:val="white"/>
              </w:rPr>
              <w:t>Quality</w:t>
            </w:r>
          </w:p>
          <w:p w14:paraId="00000070" w14:textId="77777777" w:rsidR="004F060F" w:rsidRDefault="001B5B73">
            <w:pPr>
              <w:keepNext/>
              <w:widowControl/>
              <w:pBdr>
                <w:top w:val="nil"/>
                <w:left w:val="nil"/>
                <w:bottom w:val="nil"/>
                <w:right w:val="nil"/>
                <w:between w:val="nil"/>
              </w:pBdr>
              <w:spacing w:before="240" w:after="120"/>
              <w:ind w:left="142"/>
              <w:rPr>
                <w:rFonts w:ascii="Arial" w:eastAsia="Arial" w:hAnsi="Arial" w:cs="Arial"/>
                <w:color w:val="000000"/>
                <w:sz w:val="24"/>
                <w:szCs w:val="24"/>
                <w:highlight w:val="white"/>
              </w:rPr>
            </w:pPr>
            <w:r>
              <w:rPr>
                <w:rFonts w:ascii="Arial" w:eastAsia="Arial" w:hAnsi="Arial" w:cs="Arial"/>
                <w:color w:val="000000"/>
                <w:sz w:val="24"/>
                <w:szCs w:val="24"/>
                <w:highlight w:val="white"/>
              </w:rPr>
              <w:t>Which consists of the following criteria:</w:t>
            </w:r>
          </w:p>
          <w:p w14:paraId="00000071" w14:textId="77777777" w:rsidR="004F060F" w:rsidRDefault="001B5B73">
            <w:pPr>
              <w:keepNext/>
              <w:widowControl/>
              <w:numPr>
                <w:ilvl w:val="0"/>
                <w:numId w:val="3"/>
              </w:num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color w:val="000000"/>
                <w:sz w:val="24"/>
                <w:szCs w:val="24"/>
                <w:highlight w:val="white"/>
              </w:rPr>
              <w:t>Added Value / Innovation</w:t>
            </w:r>
          </w:p>
          <w:p w14:paraId="00000072" w14:textId="77777777" w:rsidR="004F060F" w:rsidRDefault="001B5B73">
            <w:pPr>
              <w:keepNext/>
              <w:widowControl/>
              <w:numPr>
                <w:ilvl w:val="0"/>
                <w:numId w:val="3"/>
              </w:num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color w:val="000000"/>
                <w:sz w:val="24"/>
                <w:szCs w:val="24"/>
                <w:highlight w:val="white"/>
              </w:rPr>
              <w:t>Social Value</w:t>
            </w:r>
          </w:p>
          <w:p w14:paraId="00000073" w14:textId="77777777" w:rsidR="004F060F" w:rsidRDefault="001B5B73">
            <w:pPr>
              <w:keepNext/>
              <w:widowControl/>
              <w:numPr>
                <w:ilvl w:val="0"/>
                <w:numId w:val="3"/>
              </w:num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color w:val="000000"/>
                <w:sz w:val="24"/>
                <w:szCs w:val="24"/>
                <w:highlight w:val="white"/>
              </w:rPr>
              <w:t>Approach To Delivery Of The Services - Capacity a</w:t>
            </w:r>
            <w:r>
              <w:rPr>
                <w:rFonts w:ascii="Arial" w:eastAsia="Arial" w:hAnsi="Arial" w:cs="Arial"/>
                <w:sz w:val="24"/>
                <w:szCs w:val="24"/>
                <w:highlight w:val="white"/>
              </w:rPr>
              <w:t>nd Technical Merit</w:t>
            </w:r>
          </w:p>
          <w:p w14:paraId="00000074" w14:textId="77777777" w:rsidR="004F060F" w:rsidRDefault="001B5B73">
            <w:pPr>
              <w:keepNext/>
              <w:widowControl/>
              <w:numPr>
                <w:ilvl w:val="0"/>
                <w:numId w:val="3"/>
              </w:numPr>
              <w:pBdr>
                <w:top w:val="nil"/>
                <w:left w:val="nil"/>
                <w:bottom w:val="nil"/>
                <w:right w:val="nil"/>
                <w:between w:val="nil"/>
              </w:pBdr>
              <w:rPr>
                <w:rFonts w:ascii="Arial" w:eastAsia="Arial" w:hAnsi="Arial" w:cs="Arial"/>
                <w:color w:val="000000"/>
                <w:sz w:val="24"/>
                <w:szCs w:val="24"/>
                <w:highlight w:val="white"/>
              </w:rPr>
            </w:pPr>
            <w:r>
              <w:rPr>
                <w:rFonts w:ascii="Arial" w:eastAsia="Arial" w:hAnsi="Arial" w:cs="Arial"/>
                <w:color w:val="000000"/>
                <w:sz w:val="24"/>
                <w:szCs w:val="24"/>
                <w:highlight w:val="white"/>
              </w:rPr>
              <w:t>[Implementation and performance as specified in rel</w:t>
            </w:r>
            <w:r>
              <w:rPr>
                <w:rFonts w:ascii="Arial" w:eastAsia="Arial" w:hAnsi="Arial" w:cs="Arial"/>
                <w:sz w:val="24"/>
                <w:szCs w:val="24"/>
                <w:highlight w:val="white"/>
              </w:rPr>
              <w:t>evant service levels</w:t>
            </w:r>
            <w:r>
              <w:rPr>
                <w:rFonts w:ascii="Arial" w:eastAsia="Arial" w:hAnsi="Arial" w:cs="Arial"/>
                <w:color w:val="000000"/>
                <w:sz w:val="24"/>
                <w:szCs w:val="24"/>
                <w:highlight w:val="white"/>
              </w:rPr>
              <w:t>]</w:t>
            </w:r>
          </w:p>
          <w:p w14:paraId="00000075" w14:textId="77777777" w:rsidR="004F060F" w:rsidRDefault="001B5B73">
            <w:pPr>
              <w:widowControl/>
              <w:numPr>
                <w:ilvl w:val="0"/>
                <w:numId w:val="3"/>
              </w:numPr>
              <w:pBdr>
                <w:top w:val="nil"/>
                <w:left w:val="nil"/>
                <w:bottom w:val="nil"/>
                <w:right w:val="nil"/>
                <w:between w:val="nil"/>
              </w:pBdr>
              <w:tabs>
                <w:tab w:val="left" w:pos="851"/>
              </w:tabs>
              <w:jc w:val="both"/>
              <w:rPr>
                <w:rFonts w:ascii="Arial" w:eastAsia="Arial" w:hAnsi="Arial" w:cs="Arial"/>
                <w:color w:val="000000"/>
                <w:sz w:val="24"/>
                <w:szCs w:val="24"/>
                <w:highlight w:val="white"/>
              </w:rPr>
            </w:pPr>
            <w:bookmarkStart w:id="12" w:name="_heading=h.3rdcrjn" w:colFirst="0" w:colLast="0"/>
            <w:bookmarkEnd w:id="12"/>
            <w:r>
              <w:rPr>
                <w:rFonts w:ascii="Arial" w:eastAsia="Arial" w:hAnsi="Arial" w:cs="Arial"/>
                <w:color w:val="000000"/>
                <w:sz w:val="24"/>
                <w:szCs w:val="24"/>
                <w:highlight w:val="white"/>
              </w:rPr>
              <w:t>Use Of Supply Chain / Partners</w:t>
            </w:r>
          </w:p>
          <w:p w14:paraId="00000076" w14:textId="77777777" w:rsidR="004F060F" w:rsidRDefault="001B5B73">
            <w:pPr>
              <w:widowControl/>
              <w:numPr>
                <w:ilvl w:val="0"/>
                <w:numId w:val="3"/>
              </w:numPr>
              <w:pBdr>
                <w:top w:val="nil"/>
                <w:left w:val="nil"/>
                <w:bottom w:val="nil"/>
                <w:right w:val="nil"/>
                <w:between w:val="nil"/>
              </w:pBdr>
              <w:tabs>
                <w:tab w:val="left" w:pos="851"/>
              </w:tabs>
              <w:jc w:val="both"/>
              <w:rPr>
                <w:rFonts w:ascii="Arial" w:eastAsia="Arial" w:hAnsi="Arial" w:cs="Arial"/>
                <w:color w:val="000000"/>
                <w:sz w:val="24"/>
                <w:szCs w:val="24"/>
                <w:highlight w:val="white"/>
              </w:rPr>
            </w:pPr>
            <w:bookmarkStart w:id="13" w:name="_heading=h.1o68lyeuqhu" w:colFirst="0" w:colLast="0"/>
            <w:bookmarkEnd w:id="13"/>
            <w:r>
              <w:rPr>
                <w:rFonts w:ascii="Arial" w:eastAsia="Arial" w:hAnsi="Arial" w:cs="Arial"/>
                <w:sz w:val="24"/>
                <w:szCs w:val="24"/>
                <w:highlight w:val="white"/>
              </w:rPr>
              <w:t>Running cost/cost effectiveness</w:t>
            </w:r>
          </w:p>
          <w:p w14:paraId="00000077" w14:textId="77777777" w:rsidR="004F060F" w:rsidRDefault="001B5B73">
            <w:pPr>
              <w:widowControl/>
              <w:numPr>
                <w:ilvl w:val="0"/>
                <w:numId w:val="3"/>
              </w:numPr>
              <w:pBdr>
                <w:top w:val="nil"/>
                <w:left w:val="nil"/>
                <w:bottom w:val="nil"/>
                <w:right w:val="nil"/>
                <w:between w:val="nil"/>
              </w:pBdr>
              <w:tabs>
                <w:tab w:val="left" w:pos="851"/>
              </w:tabs>
              <w:jc w:val="both"/>
              <w:rPr>
                <w:rFonts w:ascii="Arial" w:eastAsia="Arial" w:hAnsi="Arial" w:cs="Arial"/>
                <w:sz w:val="24"/>
                <w:szCs w:val="24"/>
                <w:highlight w:val="white"/>
              </w:rPr>
            </w:pPr>
            <w:bookmarkStart w:id="14" w:name="_heading=h.u20qfaeerutb" w:colFirst="0" w:colLast="0"/>
            <w:bookmarkEnd w:id="14"/>
            <w:r>
              <w:rPr>
                <w:rFonts w:ascii="Arial" w:eastAsia="Arial" w:hAnsi="Arial" w:cs="Arial"/>
                <w:sz w:val="24"/>
                <w:szCs w:val="24"/>
                <w:highlight w:val="white"/>
              </w:rPr>
              <w:t>Delivery Date and delivery Period</w:t>
            </w:r>
          </w:p>
          <w:p w14:paraId="00000078" w14:textId="77777777" w:rsidR="004F060F" w:rsidRDefault="001B5B73">
            <w:pPr>
              <w:widowControl/>
              <w:numPr>
                <w:ilvl w:val="0"/>
                <w:numId w:val="3"/>
              </w:numPr>
              <w:pBdr>
                <w:top w:val="nil"/>
                <w:left w:val="nil"/>
                <w:bottom w:val="nil"/>
                <w:right w:val="nil"/>
                <w:between w:val="nil"/>
              </w:pBdr>
              <w:tabs>
                <w:tab w:val="left" w:pos="851"/>
              </w:tabs>
              <w:spacing w:after="240"/>
              <w:jc w:val="both"/>
              <w:rPr>
                <w:rFonts w:ascii="Arial" w:eastAsia="Arial" w:hAnsi="Arial" w:cs="Arial"/>
                <w:sz w:val="24"/>
                <w:szCs w:val="24"/>
                <w:highlight w:val="white"/>
              </w:rPr>
            </w:pPr>
            <w:bookmarkStart w:id="15" w:name="_heading=h.sxm3lq5s76rd" w:colFirst="0" w:colLast="0"/>
            <w:bookmarkEnd w:id="15"/>
            <w:r>
              <w:rPr>
                <w:rFonts w:ascii="Arial" w:eastAsia="Arial" w:hAnsi="Arial" w:cs="Arial"/>
                <w:sz w:val="24"/>
                <w:szCs w:val="24"/>
                <w:highlight w:val="white"/>
              </w:rPr>
              <w:t>Recent experience relevant to the project</w:t>
            </w:r>
          </w:p>
        </w:tc>
        <w:tc>
          <w:tcPr>
            <w:tcW w:w="4508" w:type="dxa"/>
          </w:tcPr>
          <w:p w14:paraId="00000079" w14:textId="77777777" w:rsidR="004F060F" w:rsidRDefault="001B5B73">
            <w:pPr>
              <w:widowControl/>
              <w:pBdr>
                <w:top w:val="nil"/>
                <w:left w:val="nil"/>
                <w:bottom w:val="nil"/>
                <w:right w:val="nil"/>
                <w:between w:val="nil"/>
              </w:pBdr>
              <w:tabs>
                <w:tab w:val="left" w:pos="851"/>
              </w:tabs>
              <w:spacing w:before="120" w:after="120"/>
              <w:jc w:val="both"/>
              <w:rPr>
                <w:rFonts w:ascii="Arial" w:eastAsia="Arial" w:hAnsi="Arial" w:cs="Arial"/>
                <w:color w:val="000000"/>
                <w:sz w:val="24"/>
                <w:szCs w:val="24"/>
                <w:highlight w:val="white"/>
              </w:rPr>
            </w:pPr>
            <w:r>
              <w:rPr>
                <w:rFonts w:ascii="Arial" w:eastAsia="Arial" w:hAnsi="Arial" w:cs="Arial"/>
                <w:sz w:val="24"/>
                <w:szCs w:val="24"/>
                <w:highlight w:val="white"/>
              </w:rPr>
              <w:t>70 (+/- 30%)</w:t>
            </w:r>
          </w:p>
        </w:tc>
      </w:tr>
      <w:tr w:rsidR="004F060F" w14:paraId="0FAC57DB" w14:textId="77777777">
        <w:tc>
          <w:tcPr>
            <w:tcW w:w="4508" w:type="dxa"/>
          </w:tcPr>
          <w:p w14:paraId="0000007A" w14:textId="77777777" w:rsidR="004F060F" w:rsidRDefault="001B5B73">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white"/>
              </w:rPr>
            </w:pPr>
            <w:r>
              <w:rPr>
                <w:rFonts w:ascii="Arial" w:eastAsia="Arial" w:hAnsi="Arial" w:cs="Arial"/>
                <w:color w:val="000000"/>
                <w:sz w:val="24"/>
                <w:szCs w:val="24"/>
                <w:highlight w:val="white"/>
              </w:rPr>
              <w:t>Price (not to exceed</w:t>
            </w:r>
            <w:r>
              <w:rPr>
                <w:rFonts w:ascii="Arial" w:eastAsia="Arial" w:hAnsi="Arial" w:cs="Arial"/>
                <w:sz w:val="24"/>
                <w:szCs w:val="24"/>
                <w:highlight w:val="white"/>
              </w:rPr>
              <w:t xml:space="preserve"> the </w:t>
            </w:r>
            <w:r>
              <w:rPr>
                <w:rFonts w:ascii="Arial" w:eastAsia="Arial" w:hAnsi="Arial" w:cs="Arial"/>
                <w:color w:val="000000"/>
                <w:sz w:val="24"/>
                <w:szCs w:val="24"/>
                <w:highlight w:val="white"/>
              </w:rPr>
              <w:t xml:space="preserve">maximum </w:t>
            </w:r>
            <w:r>
              <w:rPr>
                <w:rFonts w:ascii="Arial" w:eastAsia="Arial" w:hAnsi="Arial" w:cs="Arial"/>
                <w:sz w:val="24"/>
                <w:szCs w:val="24"/>
                <w:highlight w:val="white"/>
              </w:rPr>
              <w:t>price</w:t>
            </w:r>
            <w:r>
              <w:rPr>
                <w:rFonts w:ascii="Arial" w:eastAsia="Arial" w:hAnsi="Arial" w:cs="Arial"/>
                <w:color w:val="000000"/>
                <w:sz w:val="24"/>
                <w:szCs w:val="24"/>
                <w:highlight w:val="white"/>
              </w:rPr>
              <w:t xml:space="preserve">s </w:t>
            </w:r>
            <w:r>
              <w:rPr>
                <w:rFonts w:ascii="Arial" w:eastAsia="Arial" w:hAnsi="Arial" w:cs="Arial"/>
                <w:sz w:val="24"/>
                <w:szCs w:val="24"/>
                <w:highlight w:val="white"/>
              </w:rPr>
              <w:t>set out in the</w:t>
            </w:r>
            <w:r>
              <w:rPr>
                <w:rFonts w:ascii="Arial" w:eastAsia="Arial" w:hAnsi="Arial" w:cs="Arial"/>
                <w:color w:val="000000"/>
                <w:sz w:val="24"/>
                <w:szCs w:val="24"/>
                <w:highlight w:val="white"/>
              </w:rPr>
              <w:t xml:space="preserve"> charg</w:t>
            </w:r>
            <w:r>
              <w:rPr>
                <w:rFonts w:ascii="Arial" w:eastAsia="Arial" w:hAnsi="Arial" w:cs="Arial"/>
                <w:sz w:val="24"/>
                <w:szCs w:val="24"/>
                <w:highlight w:val="white"/>
              </w:rPr>
              <w:t>ing</w:t>
            </w:r>
            <w:r>
              <w:rPr>
                <w:rFonts w:ascii="Arial" w:eastAsia="Arial" w:hAnsi="Arial" w:cs="Arial"/>
                <w:color w:val="000000"/>
                <w:sz w:val="24"/>
                <w:szCs w:val="24"/>
                <w:highlight w:val="white"/>
              </w:rPr>
              <w:t xml:space="preserve"> </w:t>
            </w:r>
            <w:r>
              <w:rPr>
                <w:rFonts w:ascii="Arial" w:eastAsia="Arial" w:hAnsi="Arial" w:cs="Arial"/>
                <w:sz w:val="24"/>
                <w:szCs w:val="24"/>
                <w:highlight w:val="white"/>
              </w:rPr>
              <w:t>structure unless expressly permitted in the statement of requirements)</w:t>
            </w:r>
          </w:p>
        </w:tc>
        <w:tc>
          <w:tcPr>
            <w:tcW w:w="4508" w:type="dxa"/>
          </w:tcPr>
          <w:p w14:paraId="0000007B" w14:textId="77777777" w:rsidR="004F060F" w:rsidRDefault="001B5B73">
            <w:pPr>
              <w:widowControl/>
              <w:pBdr>
                <w:top w:val="nil"/>
                <w:left w:val="nil"/>
                <w:bottom w:val="nil"/>
                <w:right w:val="nil"/>
                <w:between w:val="nil"/>
              </w:pBdr>
              <w:tabs>
                <w:tab w:val="left" w:pos="851"/>
              </w:tabs>
              <w:spacing w:after="240"/>
              <w:jc w:val="both"/>
              <w:rPr>
                <w:rFonts w:ascii="Arial" w:eastAsia="Arial" w:hAnsi="Arial" w:cs="Arial"/>
                <w:color w:val="000000"/>
                <w:sz w:val="24"/>
                <w:szCs w:val="24"/>
                <w:highlight w:val="white"/>
              </w:rPr>
            </w:pPr>
            <w:r>
              <w:rPr>
                <w:rFonts w:ascii="Arial" w:eastAsia="Arial" w:hAnsi="Arial" w:cs="Arial"/>
                <w:sz w:val="24"/>
                <w:szCs w:val="24"/>
                <w:highlight w:val="white"/>
              </w:rPr>
              <w:t>30</w:t>
            </w:r>
            <w:r>
              <w:rPr>
                <w:rFonts w:ascii="Arial" w:eastAsia="Arial" w:hAnsi="Arial" w:cs="Arial"/>
                <w:color w:val="000000"/>
                <w:sz w:val="24"/>
                <w:szCs w:val="24"/>
                <w:highlight w:val="white"/>
              </w:rPr>
              <w:t xml:space="preserve"> </w:t>
            </w:r>
            <w:r>
              <w:rPr>
                <w:rFonts w:ascii="Arial" w:eastAsia="Arial" w:hAnsi="Arial" w:cs="Arial"/>
                <w:sz w:val="24"/>
                <w:szCs w:val="24"/>
                <w:highlight w:val="white"/>
              </w:rPr>
              <w:t>(+/-30%)</w:t>
            </w:r>
            <w:r>
              <w:rPr>
                <w:rFonts w:ascii="Arial" w:eastAsia="Arial" w:hAnsi="Arial" w:cs="Arial"/>
                <w:color w:val="000000"/>
                <w:sz w:val="24"/>
                <w:szCs w:val="24"/>
                <w:highlight w:val="white"/>
              </w:rPr>
              <w:t xml:space="preserve">  </w:t>
            </w:r>
          </w:p>
        </w:tc>
      </w:tr>
    </w:tbl>
    <w:p w14:paraId="0000007C" w14:textId="77777777" w:rsidR="004F060F" w:rsidRDefault="004F060F">
      <w:pPr>
        <w:widowControl/>
        <w:pBdr>
          <w:top w:val="nil"/>
          <w:left w:val="nil"/>
          <w:bottom w:val="nil"/>
          <w:right w:val="nil"/>
          <w:between w:val="nil"/>
        </w:pBdr>
        <w:jc w:val="both"/>
        <w:rPr>
          <w:rFonts w:ascii="Arial" w:eastAsia="Arial" w:hAnsi="Arial" w:cs="Arial"/>
          <w:color w:val="FFFFFF"/>
          <w:sz w:val="24"/>
          <w:szCs w:val="24"/>
        </w:rPr>
      </w:pPr>
    </w:p>
    <w:p w14:paraId="0000007D" w14:textId="77777777" w:rsidR="004F060F" w:rsidRDefault="004F060F">
      <w:pPr>
        <w:widowControl/>
        <w:pBdr>
          <w:top w:val="nil"/>
          <w:left w:val="nil"/>
          <w:bottom w:val="nil"/>
          <w:right w:val="nil"/>
          <w:between w:val="nil"/>
        </w:pBdr>
        <w:jc w:val="both"/>
        <w:rPr>
          <w:rFonts w:ascii="Arial" w:eastAsia="Arial" w:hAnsi="Arial" w:cs="Arial"/>
          <w:color w:val="FFFFFF"/>
          <w:sz w:val="24"/>
          <w:szCs w:val="24"/>
        </w:rPr>
        <w:sectPr w:rsidR="004F060F">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equalWidth="0">
            <w:col w:w="9360"/>
          </w:cols>
        </w:sectPr>
      </w:pPr>
    </w:p>
    <w:p w14:paraId="0000007E" w14:textId="77777777" w:rsidR="004F060F" w:rsidRDefault="004F060F">
      <w:pPr>
        <w:widowControl/>
        <w:pBdr>
          <w:top w:val="nil"/>
          <w:left w:val="nil"/>
          <w:bottom w:val="nil"/>
          <w:right w:val="nil"/>
          <w:between w:val="nil"/>
        </w:pBdr>
        <w:jc w:val="both"/>
        <w:rPr>
          <w:rFonts w:ascii="Arial" w:eastAsia="Arial" w:hAnsi="Arial" w:cs="Arial"/>
          <w:color w:val="FFFFFF"/>
          <w:sz w:val="24"/>
          <w:szCs w:val="24"/>
        </w:rPr>
      </w:pPr>
    </w:p>
    <w:sectPr w:rsidR="004F060F">
      <w:pgSz w:w="11906" w:h="16838"/>
      <w:pgMar w:top="1440" w:right="1440" w:bottom="1440" w:left="1440" w:header="709" w:footer="709" w:gutter="0"/>
      <w:cols w:space="720" w:equalWidth="0">
        <w:col w:w="9360"/>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2813C5" w14:textId="77777777" w:rsidR="00810AFD" w:rsidRDefault="00810AFD">
      <w:r>
        <w:separator/>
      </w:r>
    </w:p>
  </w:endnote>
  <w:endnote w:type="continuationSeparator" w:id="0">
    <w:p w14:paraId="406FBF9D" w14:textId="77777777" w:rsidR="00810AFD" w:rsidRDefault="00810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STZhongsong">
    <w:altName w:val="Microsoft YaHei"/>
    <w:charset w:val="86"/>
    <w:family w:val="auto"/>
    <w:pitch w:val="variable"/>
    <w:sig w:usb0="00000287" w:usb1="080F0000" w:usb2="00000010" w:usb3="00000000" w:csb0="0006009F" w:csb1="00000000"/>
  </w:font>
  <w:font w:name="Arial Bold">
    <w:panose1 w:val="020B07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88" w14:textId="77777777" w:rsidR="004F060F" w:rsidRDefault="001B5B73">
    <w:pPr>
      <w:tabs>
        <w:tab w:val="center" w:pos="4513"/>
        <w:tab w:val="right" w:pos="9026"/>
      </w:tabs>
      <w:rPr>
        <w:rFonts w:ascii="Arial" w:eastAsia="Arial" w:hAnsi="Arial" w:cs="Arial"/>
        <w:sz w:val="20"/>
        <w:szCs w:val="20"/>
      </w:rPr>
    </w:pPr>
    <w:r>
      <w:rPr>
        <w:rFonts w:ascii="Arial" w:eastAsia="Arial" w:hAnsi="Arial" w:cs="Arial"/>
        <w:sz w:val="20"/>
        <w:szCs w:val="20"/>
      </w:rPr>
      <w:t xml:space="preserve">Framework Ref: RM6146 Leasing Advisory Services                                            </w:t>
    </w:r>
  </w:p>
  <w:p w14:paraId="00000089" w14:textId="45821373" w:rsidR="004F060F" w:rsidRDefault="001B5B73">
    <w:pPr>
      <w:widowControl/>
      <w:pBdr>
        <w:top w:val="nil"/>
        <w:left w:val="nil"/>
        <w:bottom w:val="nil"/>
        <w:right w:val="nil"/>
        <w:between w:val="nil"/>
      </w:pBdr>
      <w:tabs>
        <w:tab w:val="center" w:pos="4513"/>
        <w:tab w:val="right" w:pos="9026"/>
      </w:tabs>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D70B1">
      <w:rPr>
        <w:rFonts w:ascii="Arial" w:eastAsia="Arial" w:hAnsi="Arial" w:cs="Arial"/>
        <w:noProof/>
        <w:color w:val="000000"/>
        <w:sz w:val="20"/>
        <w:szCs w:val="20"/>
      </w:rPr>
      <w:t>10</w:t>
    </w:r>
    <w:r>
      <w:rPr>
        <w:rFonts w:ascii="Arial" w:eastAsia="Arial" w:hAnsi="Arial" w:cs="Arial"/>
        <w:color w:val="000000"/>
        <w:sz w:val="20"/>
        <w:szCs w:val="20"/>
      </w:rPr>
      <w:fldChar w:fldCharType="end"/>
    </w:r>
  </w:p>
  <w:p w14:paraId="0000008A" w14:textId="77777777" w:rsidR="004F060F" w:rsidRDefault="001B5B73">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84" w14:textId="77777777" w:rsidR="004F060F" w:rsidRDefault="004F060F">
    <w:pPr>
      <w:widowControl/>
      <w:pBdr>
        <w:top w:val="nil"/>
        <w:left w:val="nil"/>
        <w:bottom w:val="nil"/>
        <w:right w:val="nil"/>
        <w:between w:val="nil"/>
      </w:pBdr>
      <w:tabs>
        <w:tab w:val="center" w:pos="4513"/>
        <w:tab w:val="right" w:pos="9026"/>
      </w:tabs>
      <w:jc w:val="both"/>
      <w:rPr>
        <w:color w:val="000000"/>
      </w:rPr>
    </w:pPr>
  </w:p>
  <w:p w14:paraId="00000085" w14:textId="77777777" w:rsidR="004F060F" w:rsidRDefault="001B5B73">
    <w:pPr>
      <w:tabs>
        <w:tab w:val="center" w:pos="4513"/>
        <w:tab w:val="right" w:pos="9026"/>
      </w:tabs>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r>
  </w:p>
  <w:p w14:paraId="00000086" w14:textId="77777777" w:rsidR="004F060F" w:rsidRDefault="001B5B73">
    <w:pPr>
      <w:tabs>
        <w:tab w:val="center" w:pos="4513"/>
        <w:tab w:val="right" w:pos="9026"/>
      </w:tabs>
      <w:rPr>
        <w:rFonts w:ascii="Arial" w:eastAsia="Arial" w:hAnsi="Arial" w:cs="Arial"/>
        <w:sz w:val="20"/>
        <w:szCs w:val="20"/>
      </w:rPr>
    </w:pPr>
    <w:r>
      <w:rPr>
        <w:rFonts w:ascii="Arial" w:eastAsia="Arial" w:hAnsi="Arial" w:cs="Arial"/>
        <w:sz w:val="20"/>
        <w:szCs w:val="20"/>
      </w:rPr>
      <w:t>Project Version: 1.0</w:t>
    </w:r>
    <w:r>
      <w:rPr>
        <w:rFonts w:ascii="Arial" w:eastAsia="Arial" w:hAnsi="Arial" w:cs="Arial"/>
        <w:sz w:val="20"/>
        <w:szCs w:val="20"/>
      </w:rPr>
      <w:tab/>
    </w:r>
    <w:r>
      <w:rPr>
        <w:rFonts w:ascii="Arial" w:eastAsia="Arial" w:hAnsi="Arial" w:cs="Arial"/>
        <w:sz w:val="20"/>
        <w:szCs w:val="20"/>
      </w:rPr>
      <w:tab/>
      <w:t xml:space="preserve"> </w:t>
    </w:r>
    <w:r>
      <w:rPr>
        <w:rFonts w:ascii="Arial" w:eastAsia="Arial" w:hAnsi="Arial" w:cs="Arial"/>
        <w:sz w:val="20"/>
        <w:szCs w:val="20"/>
      </w:rPr>
      <w:fldChar w:fldCharType="begin"/>
    </w:r>
    <w:r>
      <w:rPr>
        <w:rFonts w:ascii="Arial" w:eastAsia="Arial" w:hAnsi="Arial" w:cs="Arial"/>
        <w:sz w:val="20"/>
        <w:szCs w:val="20"/>
      </w:rPr>
      <w:instrText>PAGE</w:instrText>
    </w:r>
    <w:r>
      <w:rPr>
        <w:rFonts w:ascii="Arial" w:eastAsia="Arial" w:hAnsi="Arial" w:cs="Arial"/>
        <w:sz w:val="20"/>
        <w:szCs w:val="20"/>
      </w:rPr>
      <w:fldChar w:fldCharType="end"/>
    </w:r>
  </w:p>
  <w:p w14:paraId="00000087" w14:textId="77777777" w:rsidR="004F060F" w:rsidRDefault="001B5B73">
    <w:pPr>
      <w:tabs>
        <w:tab w:val="left" w:pos="720"/>
        <w:tab w:val="left" w:pos="1440"/>
        <w:tab w:val="left" w:pos="2160"/>
        <w:tab w:val="left" w:pos="2880"/>
        <w:tab w:val="left" w:pos="3600"/>
        <w:tab w:val="center" w:pos="4513"/>
      </w:tabs>
      <w:rPr>
        <w:rFonts w:ascii="Arial" w:eastAsia="Arial" w:hAnsi="Arial" w:cs="Arial"/>
        <w:sz w:val="20"/>
        <w:szCs w:val="20"/>
      </w:rPr>
    </w:pPr>
    <w:r>
      <w:rPr>
        <w:rFonts w:ascii="Arial" w:eastAsia="Arial" w:hAnsi="Arial" w:cs="Arial"/>
        <w:sz w:val="20"/>
        <w:szCs w:val="20"/>
      </w:rPr>
      <w:t xml:space="preserve">Model </w:t>
    </w:r>
    <w:proofErr w:type="gramStart"/>
    <w:r>
      <w:rPr>
        <w:rFonts w:ascii="Arial" w:eastAsia="Arial" w:hAnsi="Arial" w:cs="Arial"/>
        <w:sz w:val="20"/>
        <w:szCs w:val="20"/>
      </w:rPr>
      <w:t>Version :</w:t>
    </w:r>
    <w:proofErr w:type="gramEnd"/>
    <w:r>
      <w:rPr>
        <w:rFonts w:ascii="Arial" w:eastAsia="Arial" w:hAnsi="Arial" w:cs="Arial"/>
        <w:sz w:val="20"/>
        <w:szCs w:val="20"/>
      </w:rPr>
      <w:t xml:space="preserve">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520096" w14:textId="77777777" w:rsidR="00810AFD" w:rsidRDefault="00810AFD">
      <w:r>
        <w:separator/>
      </w:r>
    </w:p>
  </w:footnote>
  <w:footnote w:type="continuationSeparator" w:id="0">
    <w:p w14:paraId="2B986043" w14:textId="77777777" w:rsidR="00810AFD" w:rsidRDefault="00810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82" w14:textId="029977C8" w:rsidR="004F060F" w:rsidRDefault="001B5B73">
    <w:pPr>
      <w:widowControl/>
      <w:pBdr>
        <w:top w:val="nil"/>
        <w:left w:val="nil"/>
        <w:bottom w:val="nil"/>
        <w:right w:val="nil"/>
        <w:between w:val="nil"/>
      </w:pBdr>
      <w:tabs>
        <w:tab w:val="center" w:pos="4513"/>
        <w:tab w:val="right" w:pos="9026"/>
      </w:tabs>
      <w:jc w:val="both"/>
      <w:rPr>
        <w:rFonts w:ascii="Arial" w:eastAsia="Arial" w:hAnsi="Arial" w:cs="Arial"/>
        <w:b/>
        <w:color w:val="000000"/>
        <w:sz w:val="20"/>
        <w:szCs w:val="20"/>
      </w:rPr>
    </w:pPr>
    <w:r>
      <w:rPr>
        <w:rFonts w:ascii="Arial" w:eastAsia="Arial" w:hAnsi="Arial" w:cs="Arial"/>
        <w:b/>
        <w:color w:val="000000"/>
        <w:sz w:val="20"/>
        <w:szCs w:val="20"/>
      </w:rPr>
      <w:t>Framework Schedule 7 (Call-Off Award Procedure)</w:t>
    </w:r>
  </w:p>
  <w:p w14:paraId="00000083" w14:textId="54551266" w:rsidR="004F060F" w:rsidRDefault="008D70B1">
    <w:pPr>
      <w:widowControl/>
      <w:pBdr>
        <w:top w:val="nil"/>
        <w:left w:val="nil"/>
        <w:bottom w:val="nil"/>
        <w:right w:val="nil"/>
        <w:between w:val="nil"/>
      </w:pBdr>
      <w:tabs>
        <w:tab w:val="center" w:pos="4513"/>
        <w:tab w:val="right" w:pos="9026"/>
      </w:tabs>
      <w:jc w:val="both"/>
      <w:rPr>
        <w:rFonts w:ascii="Arial" w:eastAsia="Arial" w:hAnsi="Arial" w:cs="Arial"/>
        <w:color w:val="000000"/>
        <w:sz w:val="20"/>
        <w:szCs w:val="20"/>
      </w:rPr>
    </w:pPr>
    <w:r>
      <w:rPr>
        <w:rFonts w:ascii="Arial" w:eastAsia="Arial" w:hAnsi="Arial" w:cs="Arial"/>
        <w:color w:val="000000"/>
        <w:sz w:val="20"/>
        <w:szCs w:val="20"/>
      </w:rPr>
      <w:t>Crown Copyright 2020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7F" w14:textId="54C0B819" w:rsidR="004F060F" w:rsidRDefault="001B5B73">
    <w:pPr>
      <w:widowControl/>
      <w:pBdr>
        <w:top w:val="nil"/>
        <w:left w:val="nil"/>
        <w:bottom w:val="nil"/>
        <w:right w:val="nil"/>
        <w:between w:val="nil"/>
      </w:pBdr>
      <w:tabs>
        <w:tab w:val="center" w:pos="4513"/>
        <w:tab w:val="right" w:pos="9026"/>
      </w:tabs>
      <w:jc w:val="both"/>
      <w:rPr>
        <w:rFonts w:ascii="Arial" w:eastAsia="Arial" w:hAnsi="Arial" w:cs="Arial"/>
        <w:b/>
        <w:color w:val="BFBFBF"/>
        <w:sz w:val="20"/>
        <w:szCs w:val="20"/>
      </w:rPr>
    </w:pPr>
    <w:r>
      <w:rPr>
        <w:rFonts w:ascii="Arial" w:eastAsia="Arial" w:hAnsi="Arial" w:cs="Arial"/>
        <w:b/>
        <w:color w:val="BFBFBF"/>
        <w:sz w:val="20"/>
        <w:szCs w:val="20"/>
      </w:rPr>
      <w:t>Framework Schedule 7 (Call-Off Award Procedure)</w:t>
    </w:r>
  </w:p>
  <w:p w14:paraId="00000080" w14:textId="77777777" w:rsidR="004F060F" w:rsidRDefault="001B5B73">
    <w:pPr>
      <w:widowControl/>
      <w:pBdr>
        <w:top w:val="nil"/>
        <w:left w:val="nil"/>
        <w:bottom w:val="nil"/>
        <w:right w:val="nil"/>
        <w:between w:val="nil"/>
      </w:pBdr>
      <w:tabs>
        <w:tab w:val="center" w:pos="4513"/>
        <w:tab w:val="right" w:pos="9026"/>
      </w:tabs>
      <w:jc w:val="both"/>
      <w:rPr>
        <w:rFonts w:ascii="Arial" w:eastAsia="Arial" w:hAnsi="Arial" w:cs="Arial"/>
        <w:color w:val="BFBFBF"/>
        <w:sz w:val="20"/>
        <w:szCs w:val="20"/>
      </w:rPr>
    </w:pPr>
    <w:r>
      <w:rPr>
        <w:rFonts w:ascii="Arial" w:eastAsia="Arial" w:hAnsi="Arial" w:cs="Arial"/>
        <w:color w:val="BFBFBF"/>
        <w:sz w:val="20"/>
        <w:szCs w:val="20"/>
      </w:rPr>
      <w:t>Crown Copyright 2018</w:t>
    </w:r>
  </w:p>
  <w:p w14:paraId="00000081" w14:textId="77777777" w:rsidR="004F060F" w:rsidRDefault="004F060F">
    <w:pPr>
      <w:widowControl/>
      <w:pBdr>
        <w:top w:val="nil"/>
        <w:left w:val="nil"/>
        <w:bottom w:val="nil"/>
        <w:right w:val="nil"/>
        <w:between w:val="nil"/>
      </w:pBdr>
      <w:tabs>
        <w:tab w:val="center" w:pos="4513"/>
        <w:tab w:val="right" w:pos="9026"/>
      </w:tabs>
      <w:jc w:val="both"/>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26D38"/>
    <w:multiLevelType w:val="multilevel"/>
    <w:tmpl w:val="957C2DF6"/>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2"/>
        <w:szCs w:val="22"/>
        <w:u w:val="none"/>
        <w:vertAlign w:val="baseline"/>
      </w:rPr>
    </w:lvl>
    <w:lvl w:ilvl="2">
      <w:start w:val="1"/>
      <w:numFmt w:val="decimal"/>
      <w:lvlText w:val="%1.%2.%3"/>
      <w:lvlJc w:val="left"/>
      <w:pPr>
        <w:ind w:left="2610" w:hanging="720"/>
      </w:pPr>
      <w:rPr>
        <w:b w:val="0"/>
        <w:i w:val="0"/>
        <w:smallCaps w:val="0"/>
        <w:strike w:val="0"/>
        <w:color w:val="00000A"/>
        <w:sz w:val="22"/>
        <w:szCs w:val="22"/>
        <w:u w:val="none"/>
        <w:vertAlign w:val="baseline"/>
      </w:rPr>
    </w:lvl>
    <w:lvl w:ilvl="3">
      <w:start w:val="1"/>
      <w:numFmt w:val="lowerLetter"/>
      <w:lvlText w:val="(%4)"/>
      <w:lvlJc w:val="left"/>
      <w:pPr>
        <w:ind w:left="2847" w:hanging="720"/>
      </w:pPr>
      <w:rPr>
        <w:b w:val="0"/>
        <w:i w:val="0"/>
        <w:smallCaps w:val="0"/>
        <w:strike w:val="0"/>
        <w:color w:val="00000A"/>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14801507"/>
    <w:multiLevelType w:val="multilevel"/>
    <w:tmpl w:val="AEEC3DF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6104858"/>
    <w:multiLevelType w:val="multilevel"/>
    <w:tmpl w:val="404C38B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15:restartNumberingAfterBreak="0">
    <w:nsid w:val="375C744D"/>
    <w:multiLevelType w:val="multilevel"/>
    <w:tmpl w:val="ECB68A0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4A863E6F"/>
    <w:multiLevelType w:val="multilevel"/>
    <w:tmpl w:val="B9242B62"/>
    <w:lvl w:ilvl="0">
      <w:start w:val="1"/>
      <w:numFmt w:val="decimal"/>
      <w:lvlText w:val="%1."/>
      <w:lvlJc w:val="left"/>
      <w:pPr>
        <w:ind w:left="1080" w:hanging="360"/>
      </w:pPr>
      <w:rPr>
        <w:b w:val="0"/>
        <w:i w:val="0"/>
        <w:smallCaps w:val="0"/>
        <w:strike w:val="0"/>
        <w:color w:val="00000A"/>
        <w:sz w:val="24"/>
        <w:szCs w:val="24"/>
        <w:u w:val="none"/>
        <w:vertAlign w:val="baseline"/>
      </w:rPr>
    </w:lvl>
    <w:lvl w:ilvl="1">
      <w:start w:val="1"/>
      <w:numFmt w:val="decimal"/>
      <w:lvlText w:val="%1.%2"/>
      <w:lvlJc w:val="left"/>
      <w:pPr>
        <w:ind w:left="1800" w:hanging="360"/>
      </w:pPr>
      <w:rPr>
        <w:b w:val="0"/>
        <w:i w:val="0"/>
        <w:smallCaps w:val="0"/>
        <w:strike w:val="0"/>
        <w:color w:val="00000A"/>
        <w:sz w:val="22"/>
        <w:szCs w:val="22"/>
        <w:u w:val="none"/>
        <w:vertAlign w:val="baseline"/>
      </w:rPr>
    </w:lvl>
    <w:lvl w:ilvl="2">
      <w:start w:val="1"/>
      <w:numFmt w:val="decimal"/>
      <w:lvlText w:val="%1.%2.%3"/>
      <w:lvlJc w:val="left"/>
      <w:pPr>
        <w:ind w:left="3330" w:hanging="720"/>
      </w:pPr>
      <w:rPr>
        <w:b w:val="0"/>
        <w:i w:val="0"/>
        <w:smallCaps w:val="0"/>
        <w:strike w:val="0"/>
        <w:color w:val="00000A"/>
        <w:sz w:val="22"/>
        <w:szCs w:val="22"/>
        <w:u w:val="none"/>
        <w:vertAlign w:val="baseline"/>
      </w:rPr>
    </w:lvl>
    <w:lvl w:ilvl="3">
      <w:start w:val="1"/>
      <w:numFmt w:val="lowerLetter"/>
      <w:lvlText w:val="(%4)"/>
      <w:lvlJc w:val="left"/>
      <w:pPr>
        <w:ind w:left="3567" w:hanging="720"/>
      </w:pPr>
      <w:rPr>
        <w:b w:val="0"/>
        <w:i w:val="0"/>
        <w:smallCaps w:val="0"/>
        <w:strike w:val="0"/>
        <w:color w:val="00000A"/>
        <w:sz w:val="22"/>
        <w:szCs w:val="22"/>
        <w:u w:val="none"/>
        <w:vertAlign w:val="baseline"/>
      </w:rPr>
    </w:lvl>
    <w:lvl w:ilvl="4">
      <w:start w:val="1"/>
      <w:numFmt w:val="lowerRoman"/>
      <w:lvlText w:val="(%5)"/>
      <w:lvlJc w:val="left"/>
      <w:pPr>
        <w:ind w:left="2160" w:hanging="1080"/>
      </w:pPr>
      <w:rPr>
        <w:b w:val="0"/>
        <w:i w:val="0"/>
        <w:smallCaps w:val="0"/>
        <w:strike w:val="0"/>
        <w:color w:val="000000"/>
        <w:u w:val="none"/>
        <w:vertAlign w:val="baseline"/>
      </w:rPr>
    </w:lvl>
    <w:lvl w:ilvl="5">
      <w:start w:val="1"/>
      <w:numFmt w:val="upperLetter"/>
      <w:lvlText w:val="(%6)"/>
      <w:lvlJc w:val="left"/>
      <w:pPr>
        <w:ind w:left="2160" w:hanging="1080"/>
      </w:pPr>
      <w:rPr>
        <w:b w:val="0"/>
        <w:i w:val="0"/>
        <w:smallCaps w:val="0"/>
        <w:strike w:val="0"/>
        <w:color w:val="000000"/>
        <w:u w:val="none"/>
        <w:vertAlign w:val="baseline"/>
      </w:rPr>
    </w:lvl>
    <w:lvl w:ilvl="6">
      <w:start w:val="1"/>
      <w:numFmt w:val="decimal"/>
      <w:lvlText w:val="%1.%2.%3.%4.%5.%6.%7"/>
      <w:lvlJc w:val="left"/>
      <w:pPr>
        <w:ind w:left="2520" w:hanging="1440"/>
      </w:pPr>
    </w:lvl>
    <w:lvl w:ilvl="7">
      <w:start w:val="1"/>
      <w:numFmt w:val="decimal"/>
      <w:lvlText w:val="%1.%2.%3.%4.%5.%6.%7.%8"/>
      <w:lvlJc w:val="left"/>
      <w:pPr>
        <w:ind w:left="2520" w:hanging="1440"/>
      </w:pPr>
    </w:lvl>
    <w:lvl w:ilvl="8">
      <w:start w:val="1"/>
      <w:numFmt w:val="decimal"/>
      <w:lvlText w:val="%1.%2.%3.%4.%5.%6.%7.%8.%9"/>
      <w:lvlJc w:val="left"/>
      <w:pPr>
        <w:ind w:left="2880" w:hanging="1800"/>
      </w:pPr>
    </w:lvl>
  </w:abstractNum>
  <w:abstractNum w:abstractNumId="5" w15:restartNumberingAfterBreak="0">
    <w:nsid w:val="562805B5"/>
    <w:multiLevelType w:val="multilevel"/>
    <w:tmpl w:val="208A9F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6F416AE3"/>
    <w:multiLevelType w:val="multilevel"/>
    <w:tmpl w:val="8808406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773B5FA2"/>
    <w:multiLevelType w:val="multilevel"/>
    <w:tmpl w:val="1CA89C48"/>
    <w:lvl w:ilvl="0">
      <w:start w:val="1"/>
      <w:numFmt w:val="decimal"/>
      <w:lvlText w:val="%1."/>
      <w:lvlJc w:val="left"/>
      <w:pPr>
        <w:ind w:left="360" w:hanging="360"/>
      </w:pPr>
      <w:rPr>
        <w:b/>
        <w:i w:val="0"/>
        <w:smallCaps w:val="0"/>
        <w:strike w:val="0"/>
        <w:color w:val="00000A"/>
        <w:sz w:val="24"/>
        <w:szCs w:val="24"/>
        <w:u w:val="none"/>
        <w:vertAlign w:val="baseline"/>
      </w:rPr>
    </w:lvl>
    <w:lvl w:ilvl="1">
      <w:start w:val="1"/>
      <w:numFmt w:val="decimal"/>
      <w:lvlText w:val="%1.%2"/>
      <w:lvlJc w:val="left"/>
      <w:pPr>
        <w:ind w:left="1080" w:hanging="360"/>
      </w:pPr>
      <w:rPr>
        <w:b w:val="0"/>
        <w:i w:val="0"/>
        <w:smallCaps w:val="0"/>
        <w:strike w:val="0"/>
        <w:color w:val="00000A"/>
        <w:sz w:val="24"/>
        <w:szCs w:val="24"/>
        <w:u w:val="none"/>
        <w:vertAlign w:val="baseline"/>
      </w:rPr>
    </w:lvl>
    <w:lvl w:ilvl="2">
      <w:start w:val="1"/>
      <w:numFmt w:val="decimal"/>
      <w:lvlText w:val="%1.%2.%3"/>
      <w:lvlJc w:val="left"/>
      <w:pPr>
        <w:ind w:left="2610" w:hanging="720"/>
      </w:pPr>
      <w:rPr>
        <w:b w:val="0"/>
        <w:i w:val="0"/>
        <w:smallCaps w:val="0"/>
        <w:strike w:val="0"/>
        <w:color w:val="00000A"/>
        <w:sz w:val="24"/>
        <w:szCs w:val="24"/>
        <w:u w:val="none"/>
        <w:vertAlign w:val="baseline"/>
      </w:rPr>
    </w:lvl>
    <w:lvl w:ilvl="3">
      <w:start w:val="1"/>
      <w:numFmt w:val="lowerLetter"/>
      <w:lvlText w:val="(%4)"/>
      <w:lvlJc w:val="left"/>
      <w:pPr>
        <w:ind w:left="2847" w:hanging="720"/>
      </w:pPr>
      <w:rPr>
        <w:b w:val="0"/>
        <w:i w:val="0"/>
        <w:smallCaps w:val="0"/>
        <w:strike w:val="0"/>
        <w:color w:val="00000A"/>
        <w:sz w:val="24"/>
        <w:szCs w:val="24"/>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2"/>
  </w:num>
  <w:num w:numId="2">
    <w:abstractNumId w:val="3"/>
  </w:num>
  <w:num w:numId="3">
    <w:abstractNumId w:val="1"/>
  </w:num>
  <w:num w:numId="4">
    <w:abstractNumId w:val="6"/>
  </w:num>
  <w:num w:numId="5">
    <w:abstractNumId w:val="7"/>
  </w:num>
  <w:num w:numId="6">
    <w:abstractNumId w:val="0"/>
  </w:num>
  <w:num w:numId="7">
    <w:abstractNumId w:val="4"/>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60F"/>
    <w:rsid w:val="001B5B73"/>
    <w:rsid w:val="001D76D3"/>
    <w:rsid w:val="004901FC"/>
    <w:rsid w:val="004F060F"/>
    <w:rsid w:val="00810AFD"/>
    <w:rsid w:val="008902BB"/>
    <w:rsid w:val="008D70B1"/>
    <w:rsid w:val="00FA0AB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C142A61"/>
  <w15:docId w15:val="{9D24FC26-BE29-4E79-900F-8F7829E20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Standard">
    <w:name w:val="Standard"/>
    <w:pPr>
      <w:widowControl/>
      <w:spacing w:after="240"/>
      <w:jc w:val="both"/>
    </w:pPr>
    <w:rPr>
      <w:rFonts w:eastAsia="Times New Roman" w:cs="Arial"/>
    </w:rPr>
  </w:style>
  <w:style w:type="paragraph" w:customStyle="1" w:styleId="Heading">
    <w:name w:val="Heading"/>
    <w:basedOn w:val="Standard"/>
    <w:next w:val="Textbody"/>
    <w:pPr>
      <w:keepNext/>
      <w:spacing w:before="240" w:after="120"/>
    </w:pPr>
    <w:rPr>
      <w:rFonts w:ascii="Liberation Sans" w:eastAsia="Arial Unicode MS" w:hAnsi="Liberation Sans" w:cs="Arial Unicode MS"/>
      <w:sz w:val="28"/>
      <w:szCs w:val="28"/>
    </w:rPr>
  </w:style>
  <w:style w:type="paragraph" w:customStyle="1" w:styleId="Textbody">
    <w:name w:val="Text body"/>
    <w:basedOn w:val="Standard"/>
    <w:pPr>
      <w:spacing w:after="140" w:line="288" w:lineRule="auto"/>
    </w:pPr>
  </w:style>
  <w:style w:type="paragraph" w:styleId="List">
    <w:name w:val="List"/>
    <w:basedOn w:val="Textbody"/>
    <w:rPr>
      <w:sz w:val="24"/>
    </w:rPr>
  </w:style>
  <w:style w:type="paragraph" w:styleId="Caption">
    <w:name w:val="caption"/>
    <w:basedOn w:val="Standard"/>
    <w:pPr>
      <w:suppressLineNumbers/>
      <w:spacing w:before="120" w:after="120"/>
    </w:pPr>
    <w:rPr>
      <w:i/>
      <w:iCs/>
      <w:sz w:val="24"/>
      <w:szCs w:val="24"/>
    </w:rPr>
  </w:style>
  <w:style w:type="paragraph" w:customStyle="1" w:styleId="Index">
    <w:name w:val="Index"/>
    <w:basedOn w:val="Standard"/>
    <w:pPr>
      <w:suppressLineNumbers/>
    </w:pPr>
    <w:rPr>
      <w:sz w:val="24"/>
    </w:rPr>
  </w:style>
  <w:style w:type="paragraph" w:styleId="Header">
    <w:name w:val="header"/>
    <w:basedOn w:val="Standard"/>
    <w:pPr>
      <w:tabs>
        <w:tab w:val="center" w:pos="4513"/>
        <w:tab w:val="right" w:pos="9026"/>
      </w:tabs>
      <w:spacing w:after="0"/>
    </w:pPr>
  </w:style>
  <w:style w:type="paragraph" w:styleId="Footer">
    <w:name w:val="footer"/>
    <w:basedOn w:val="Standard"/>
    <w:uiPriority w:val="99"/>
    <w:pPr>
      <w:tabs>
        <w:tab w:val="center" w:pos="4513"/>
        <w:tab w:val="right" w:pos="9026"/>
      </w:tabs>
      <w:spacing w:after="0"/>
    </w:pPr>
  </w:style>
  <w:style w:type="paragraph" w:customStyle="1" w:styleId="MarginText">
    <w:name w:val="Margin Text"/>
    <w:basedOn w:val="Standard"/>
    <w:pPr>
      <w:keepNext/>
      <w:overflowPunct w:val="0"/>
      <w:spacing w:before="240" w:after="120"/>
      <w:ind w:left="142"/>
    </w:pPr>
    <w:rPr>
      <w:rFonts w:eastAsia="STZhongsong" w:cs="Times New Roman"/>
      <w:szCs w:val="18"/>
      <w:lang w:eastAsia="zh-CN"/>
    </w:rPr>
  </w:style>
  <w:style w:type="paragraph" w:customStyle="1" w:styleId="GPSL1CLAUSEHEADING">
    <w:name w:val="GPS L1 CLAUSE HEADING"/>
    <w:basedOn w:val="Standard"/>
    <w:next w:val="Standard"/>
    <w:pPr>
      <w:tabs>
        <w:tab w:val="left" w:pos="142"/>
      </w:tabs>
      <w:overflowPunct w:val="0"/>
      <w:spacing w:before="120"/>
      <w:outlineLvl w:val="1"/>
    </w:pPr>
    <w:rPr>
      <w:rFonts w:eastAsia="STZhongsong"/>
      <w:b/>
      <w:caps/>
      <w:lang w:eastAsia="zh-CN"/>
    </w:rPr>
  </w:style>
  <w:style w:type="paragraph" w:customStyle="1" w:styleId="GPSL3numberedclause">
    <w:name w:val="GPS L3 numbered clause"/>
    <w:basedOn w:val="Standard"/>
    <w:pPr>
      <w:tabs>
        <w:tab w:val="left" w:pos="3641"/>
      </w:tabs>
      <w:overflowPunct w:val="0"/>
      <w:spacing w:before="120" w:after="120"/>
      <w:ind w:left="1656"/>
    </w:pPr>
    <w:rPr>
      <w:lang w:eastAsia="zh-CN"/>
    </w:rPr>
  </w:style>
  <w:style w:type="paragraph" w:customStyle="1" w:styleId="GPSL4numberedclause">
    <w:name w:val="GPS L4 numbered clause"/>
    <w:basedOn w:val="GPSL3numberedclause"/>
    <w:pPr>
      <w:tabs>
        <w:tab w:val="clear" w:pos="3641"/>
      </w:tabs>
      <w:ind w:left="2592" w:hanging="936"/>
    </w:pPr>
  </w:style>
  <w:style w:type="paragraph" w:customStyle="1" w:styleId="GPSL5numberedclause">
    <w:name w:val="GPS L5 numbered clause"/>
    <w:basedOn w:val="GPSL4numberedclause"/>
    <w:pPr>
      <w:tabs>
        <w:tab w:val="left" w:pos="6238"/>
      </w:tabs>
      <w:ind w:left="3119" w:hanging="567"/>
    </w:pPr>
  </w:style>
  <w:style w:type="paragraph" w:customStyle="1" w:styleId="GPSL2NumberedBoldHeading">
    <w:name w:val="GPS L2 Numbered Bold Heading"/>
    <w:basedOn w:val="Standard"/>
    <w:pPr>
      <w:tabs>
        <w:tab w:val="left" w:pos="3054"/>
      </w:tabs>
      <w:overflowPunct w:val="0"/>
      <w:spacing w:before="120" w:after="120"/>
      <w:ind w:left="1920"/>
    </w:pPr>
    <w:rPr>
      <w:b/>
      <w:lang w:eastAsia="zh-CN"/>
    </w:rPr>
  </w:style>
  <w:style w:type="paragraph" w:customStyle="1" w:styleId="GPSL6numbered">
    <w:name w:val="GPS L6 numbered"/>
    <w:basedOn w:val="GPSL5numberedclause"/>
    <w:pPr>
      <w:tabs>
        <w:tab w:val="clear" w:pos="6238"/>
        <w:tab w:val="left" w:pos="4046"/>
        <w:tab w:val="left" w:pos="7372"/>
      </w:tabs>
      <w:ind w:left="3686"/>
    </w:pPr>
  </w:style>
  <w:style w:type="paragraph" w:customStyle="1" w:styleId="GPSL1Guidance">
    <w:name w:val="GPS L1 Guidance"/>
    <w:basedOn w:val="Standard"/>
    <w:pPr>
      <w:spacing w:before="240" w:after="120"/>
      <w:ind w:left="426"/>
    </w:pPr>
    <w:rPr>
      <w:b/>
      <w:i/>
    </w:rPr>
  </w:style>
  <w:style w:type="paragraph" w:customStyle="1" w:styleId="GPSL1SCHEDULEHeading">
    <w:name w:val="GPS L1 SCHEDULE Heading"/>
    <w:basedOn w:val="GPSL1CLAUSEHEADING"/>
    <w:pPr>
      <w:tabs>
        <w:tab w:val="clear" w:pos="142"/>
      </w:tabs>
    </w:pPr>
  </w:style>
  <w:style w:type="paragraph" w:customStyle="1" w:styleId="GPSmacrorestart">
    <w:name w:val="GPS macro restart"/>
    <w:basedOn w:val="Standard"/>
    <w:qFormat/>
    <w:pPr>
      <w:spacing w:after="0"/>
    </w:pPr>
    <w:rPr>
      <w:color w:val="FFFFFF"/>
      <w:sz w:val="16"/>
      <w:szCs w:val="16"/>
    </w:rPr>
  </w:style>
  <w:style w:type="paragraph" w:customStyle="1" w:styleId="GPSSchTitleandNumber">
    <w:name w:val="GPS Sch Title and Number"/>
    <w:basedOn w:val="Standard"/>
    <w:pPr>
      <w:keepNext/>
      <w:overflowPunct w:val="0"/>
      <w:ind w:firstLine="426"/>
      <w:jc w:val="center"/>
      <w:outlineLvl w:val="0"/>
    </w:pPr>
    <w:rPr>
      <w:rFonts w:ascii="Arial Bold" w:eastAsia="STZhongsong" w:hAnsi="Arial Bold" w:cs="Times New Roman"/>
      <w:b/>
      <w:caps/>
      <w:lang w:eastAsia="zh-CN"/>
    </w:rPr>
  </w:style>
  <w:style w:type="paragraph" w:customStyle="1" w:styleId="GPSSchPart">
    <w:name w:val="GPS Sch Part"/>
    <w:basedOn w:val="Standard"/>
    <w:qFormat/>
    <w:pPr>
      <w:keepNext/>
      <w:overflowPunct w:val="0"/>
      <w:spacing w:before="240"/>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pPr>
      <w:tabs>
        <w:tab w:val="clear" w:pos="3054"/>
      </w:tabs>
      <w:ind w:left="936" w:hanging="576"/>
    </w:pPr>
    <w:rPr>
      <w:b w:val="0"/>
    </w:rPr>
  </w:style>
  <w:style w:type="paragraph" w:customStyle="1" w:styleId="GPSL1Schedulenumbered">
    <w:name w:val="GPS L1 Schedule numbered"/>
    <w:basedOn w:val="Standard"/>
    <w:qFormat/>
    <w:pPr>
      <w:tabs>
        <w:tab w:val="left" w:pos="851"/>
      </w:tabs>
    </w:pPr>
  </w:style>
  <w:style w:type="paragraph" w:styleId="BalloonText">
    <w:name w:val="Balloon Text"/>
    <w:basedOn w:val="Standard"/>
    <w:pPr>
      <w:spacing w:after="0"/>
    </w:pPr>
    <w:rPr>
      <w:rFonts w:ascii="Tahoma" w:eastAsia="Tahoma" w:hAnsi="Tahoma" w:cs="Tahoma"/>
      <w:sz w:val="16"/>
      <w:szCs w:val="16"/>
    </w:rPr>
  </w:style>
  <w:style w:type="paragraph" w:customStyle="1" w:styleId="GPSL2Guidance">
    <w:name w:val="GPS L2 Guidance"/>
    <w:basedOn w:val="Standard"/>
    <w:pPr>
      <w:tabs>
        <w:tab w:val="left" w:pos="2268"/>
      </w:tabs>
      <w:overflowPunct w:val="0"/>
      <w:spacing w:before="120" w:after="120"/>
      <w:ind w:left="1134"/>
    </w:pPr>
    <w:rPr>
      <w:b/>
      <w:i/>
      <w:lang w:eastAsia="zh-CN"/>
    </w:rPr>
  </w:style>
  <w:style w:type="paragraph" w:customStyle="1" w:styleId="GPSL2Indent">
    <w:name w:val="GPS L2 Indent"/>
    <w:basedOn w:val="Standard"/>
    <w:pPr>
      <w:tabs>
        <w:tab w:val="left" w:pos="4536"/>
      </w:tabs>
      <w:spacing w:after="220"/>
      <w:ind w:left="1134"/>
    </w:pPr>
    <w:rPr>
      <w:szCs w:val="24"/>
    </w:rPr>
  </w:style>
  <w:style w:type="paragraph" w:customStyle="1" w:styleId="GPSL4Guidance">
    <w:name w:val="GPS L4 Guidance"/>
    <w:basedOn w:val="Standard"/>
    <w:pPr>
      <w:tabs>
        <w:tab w:val="left" w:pos="3970"/>
      </w:tabs>
      <w:overflowPunct w:val="0"/>
      <w:spacing w:before="120" w:after="120"/>
      <w:ind w:left="1985"/>
    </w:pPr>
    <w:rPr>
      <w:b/>
      <w:i/>
      <w:lang w:eastAsia="zh-CN"/>
    </w:rPr>
  </w:style>
  <w:style w:type="paragraph" w:customStyle="1" w:styleId="GPSL2non-numberboldheading">
    <w:name w:val="GPS L2 non-number bold heading"/>
    <w:basedOn w:val="GPSL2NumberedBoldHeading"/>
    <w:pPr>
      <w:ind w:left="1134"/>
    </w:pPr>
  </w:style>
  <w:style w:type="paragraph" w:styleId="CommentText">
    <w:name w:val="annotation text"/>
    <w:basedOn w:val="Standard"/>
    <w:rPr>
      <w:sz w:val="20"/>
      <w:szCs w:val="20"/>
    </w:rPr>
  </w:style>
  <w:style w:type="paragraph" w:styleId="CommentSubject">
    <w:name w:val="annotation subject"/>
    <w:basedOn w:val="CommentText"/>
    <w:rPr>
      <w:b/>
      <w:bCs/>
    </w:rPr>
  </w:style>
  <w:style w:type="character" w:customStyle="1" w:styleId="HeaderChar">
    <w:name w:val="Header Char"/>
    <w:basedOn w:val="DefaultParagraphFont"/>
  </w:style>
  <w:style w:type="character" w:customStyle="1" w:styleId="FooterChar">
    <w:name w:val="Footer Char"/>
    <w:basedOn w:val="DefaultParagraphFont"/>
    <w:uiPriority w:val="99"/>
  </w:style>
  <w:style w:type="character" w:styleId="Emphasis">
    <w:name w:val="Emphasis"/>
    <w:basedOn w:val="DefaultParagraphFont"/>
    <w:rPr>
      <w:i/>
      <w:iCs/>
    </w:rPr>
  </w:style>
  <w:style w:type="character" w:customStyle="1" w:styleId="MarginTextChar">
    <w:name w:val="Margin Text Char"/>
    <w:rPr>
      <w:rFonts w:ascii="Calibri" w:eastAsia="STZhongsong" w:hAnsi="Calibri" w:cs="Times New Roman"/>
      <w:szCs w:val="18"/>
      <w:lang w:eastAsia="zh-CN"/>
    </w:rPr>
  </w:style>
  <w:style w:type="character" w:customStyle="1" w:styleId="GPSL2NumberedChar">
    <w:name w:val="GPS L2 Numbered Char"/>
    <w:rPr>
      <w:rFonts w:ascii="Calibri" w:eastAsia="Times New Roman" w:hAnsi="Calibri" w:cs="Arial"/>
      <w:lang w:eastAsia="zh-CN"/>
    </w:rPr>
  </w:style>
  <w:style w:type="character" w:customStyle="1" w:styleId="GPSL1SCHEDULEHeadingChar">
    <w:name w:val="GPS L1 SCHEDULE Heading Char"/>
    <w:rPr>
      <w:rFonts w:ascii="Calibri" w:eastAsia="STZhongsong" w:hAnsi="Calibri" w:cs="Arial"/>
      <w:b/>
      <w:caps/>
      <w:lang w:eastAsia="zh-CN"/>
    </w:rPr>
  </w:style>
  <w:style w:type="character" w:customStyle="1" w:styleId="GPSL1SchedulenumberedChar1">
    <w:name w:val="GPS L1 Schedule numbered Char1"/>
    <w:rPr>
      <w:rFonts w:ascii="Calibri" w:eastAsia="Times New Roman" w:hAnsi="Calibri" w:cs="Arial"/>
    </w:rPr>
  </w:style>
  <w:style w:type="character" w:customStyle="1" w:styleId="GPSL1GuidanceChar">
    <w:name w:val="GPS L1 Guidance Char"/>
    <w:rPr>
      <w:rFonts w:ascii="Calibri" w:eastAsia="Times New Roman" w:hAnsi="Calibri" w:cs="Arial"/>
      <w:b/>
      <w:i/>
    </w:rPr>
  </w:style>
  <w:style w:type="character" w:customStyle="1" w:styleId="GPSSchTitleandNumberChar">
    <w:name w:val="GPS Sch Title and Number Char"/>
    <w:rPr>
      <w:rFonts w:ascii="Arial Bold" w:eastAsia="STZhongsong" w:hAnsi="Arial Bold" w:cs="Times New Roman"/>
      <w:b/>
      <w:caps/>
      <w:lang w:eastAsia="zh-CN"/>
    </w:rPr>
  </w:style>
  <w:style w:type="character" w:customStyle="1" w:styleId="GPSSchPartChar">
    <w:name w:val="GPS Sch Part Char"/>
    <w:rPr>
      <w:rFonts w:ascii="Arial Bold" w:eastAsia="STZhongsong" w:hAnsi="Arial Bold" w:cs="Times New Roman"/>
      <w:b/>
      <w:caps/>
      <w:lang w:eastAsia="zh-CN"/>
    </w:rPr>
  </w:style>
  <w:style w:type="character" w:customStyle="1" w:styleId="BalloonTextChar">
    <w:name w:val="Balloon Text Char"/>
    <w:basedOn w:val="DefaultParagraphFont"/>
    <w:rPr>
      <w:rFonts w:ascii="Tahoma" w:eastAsia="Times New Roman" w:hAnsi="Tahoma" w:cs="Tahoma"/>
      <w:sz w:val="16"/>
      <w:szCs w:val="16"/>
    </w:rPr>
  </w:style>
  <w:style w:type="character" w:customStyle="1" w:styleId="GPSL4numberedclauseChar">
    <w:name w:val="GPS L4 numbered clause Char"/>
    <w:rPr>
      <w:rFonts w:ascii="Calibri" w:eastAsia="Times New Roman" w:hAnsi="Calibri" w:cs="Arial"/>
      <w:lang w:eastAsia="zh-CN"/>
    </w:rPr>
  </w:style>
  <w:style w:type="character" w:customStyle="1" w:styleId="GPSL3numberedclauseChar">
    <w:name w:val="GPS L3 numbered clause Char"/>
    <w:rPr>
      <w:rFonts w:ascii="Calibri" w:eastAsia="Times New Roman" w:hAnsi="Calibri" w:cs="Arial"/>
      <w:lang w:eastAsia="zh-CN"/>
    </w:rPr>
  </w:style>
  <w:style w:type="character" w:customStyle="1" w:styleId="GPSL5numberedclauseChar">
    <w:name w:val="GPS L5 numbered clause Char"/>
    <w:rPr>
      <w:rFonts w:ascii="Calibri" w:eastAsia="Times New Roman" w:hAnsi="Calibri" w:cs="Arial"/>
      <w:lang w:eastAsia="zh-CN"/>
    </w:rPr>
  </w:style>
  <w:style w:type="character" w:customStyle="1" w:styleId="GPSL4GuidanceChar">
    <w:name w:val="GPS L4 Guidance Char"/>
    <w:rPr>
      <w:rFonts w:ascii="Calibri" w:eastAsia="Times New Roman" w:hAnsi="Calibri" w:cs="Arial"/>
      <w:b/>
      <w:i/>
      <w:lang w:eastAsia="zh-CN"/>
    </w:rPr>
  </w:style>
  <w:style w:type="character" w:customStyle="1" w:styleId="GPSL2non-numberboldheadingChar">
    <w:name w:val="GPS L2 non-number bold heading Char"/>
    <w:rPr>
      <w:rFonts w:ascii="Calibri" w:eastAsia="Times New Roman" w:hAnsi="Calibri" w:cs="Arial"/>
      <w:b/>
      <w:lang w:eastAsia="zh-CN"/>
    </w:rPr>
  </w:style>
  <w:style w:type="character" w:customStyle="1" w:styleId="GPSL2IndentChar">
    <w:name w:val="GPS L2 Indent Char"/>
    <w:rPr>
      <w:rFonts w:ascii="Calibri" w:eastAsia="Times New Roman" w:hAnsi="Calibri" w:cs="Arial"/>
      <w:szCs w:val="24"/>
    </w:rPr>
  </w:style>
  <w:style w:type="character" w:customStyle="1" w:styleId="GPSL2GuidanceChar">
    <w:name w:val="GPS L2 Guidance Char"/>
    <w:rPr>
      <w:rFonts w:ascii="Calibri" w:eastAsia="Times New Roman" w:hAnsi="Calibri" w:cs="Arial"/>
      <w:b/>
      <w:i/>
      <w:lang w:eastAsia="zh-CN"/>
    </w:rPr>
  </w:style>
  <w:style w:type="character" w:styleId="CommentReference">
    <w:name w:val="annotation reference"/>
    <w:basedOn w:val="DefaultParagraphFont"/>
    <w:rPr>
      <w:sz w:val="16"/>
      <w:szCs w:val="16"/>
    </w:rPr>
  </w:style>
  <w:style w:type="character" w:customStyle="1" w:styleId="CommentTextChar">
    <w:name w:val="Comment Text Char"/>
    <w:basedOn w:val="DefaultParagraphFont"/>
    <w:rPr>
      <w:rFonts w:ascii="Calibri" w:eastAsia="Times New Roman" w:hAnsi="Calibri" w:cs="Arial"/>
      <w:sz w:val="20"/>
      <w:szCs w:val="20"/>
    </w:rPr>
  </w:style>
  <w:style w:type="character" w:customStyle="1" w:styleId="CommentSubjectChar">
    <w:name w:val="Comment Subject Char"/>
    <w:basedOn w:val="CommentTextChar"/>
    <w:rPr>
      <w:rFonts w:ascii="Calibri" w:eastAsia="Times New Roman" w:hAnsi="Calibri" w:cs="Arial"/>
      <w:b/>
      <w:bCs/>
      <w:sz w:val="20"/>
      <w:szCs w:val="20"/>
    </w:rPr>
  </w:style>
  <w:style w:type="character" w:customStyle="1" w:styleId="ListLabel1">
    <w:name w:val="ListLabel 1"/>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
    <w:name w:val="ListLabel 2"/>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
    <w:name w:val="ListLabel 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
    <w:name w:val="ListLabel 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
    <w:name w:val="ListLabel 5"/>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
    <w:name w:val="ListLabel 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
    <w:name w:val="ListLabel 7"/>
    <w:rPr>
      <w:rFonts w:cs="Times New Roman"/>
    </w:rPr>
  </w:style>
  <w:style w:type="character" w:customStyle="1" w:styleId="ListLabel8">
    <w:name w:val="ListLabel 8"/>
    <w:rPr>
      <w:rFonts w:cs="Times New Roman"/>
    </w:rPr>
  </w:style>
  <w:style w:type="character" w:customStyle="1" w:styleId="ListLabel9">
    <w:name w:val="ListLabel 9"/>
    <w:rPr>
      <w:rFonts w:cs="Times New Roman"/>
    </w:rPr>
  </w:style>
  <w:style w:type="character" w:customStyle="1" w:styleId="ListLabel10">
    <w:name w:val="ListLabel 1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11">
    <w:name w:val="ListLabel 11"/>
    <w:rPr>
      <w:rFonts w:cs="Times New Roman"/>
    </w:rPr>
  </w:style>
  <w:style w:type="character" w:customStyle="1" w:styleId="ListLabel12">
    <w:name w:val="ListLabel 12"/>
    <w:rPr>
      <w:rFonts w:cs="Times New Roman"/>
    </w:rPr>
  </w:style>
  <w:style w:type="character" w:customStyle="1" w:styleId="ListLabel13">
    <w:name w:val="ListLabel 13"/>
    <w:rPr>
      <w:rFonts w:cs="Times New Roman"/>
    </w:rPr>
  </w:style>
  <w:style w:type="character" w:customStyle="1" w:styleId="ListLabel14">
    <w:name w:val="ListLabel 14"/>
    <w:rPr>
      <w:rFonts w:cs="Times New Roman"/>
    </w:rPr>
  </w:style>
  <w:style w:type="character" w:customStyle="1" w:styleId="ListLabel15">
    <w:name w:val="ListLabel 15"/>
    <w:rPr>
      <w:rFonts w:cs="Times New Roman"/>
    </w:rPr>
  </w:style>
  <w:style w:type="character" w:customStyle="1" w:styleId="ListLabel16">
    <w:name w:val="ListLabel 16"/>
    <w:rPr>
      <w:rFonts w:cs="Times New Roman"/>
    </w:rPr>
  </w:style>
  <w:style w:type="character" w:customStyle="1" w:styleId="ListLabel17">
    <w:name w:val="ListLabel 17"/>
    <w:rPr>
      <w:rFonts w:cs="Times New Roman"/>
    </w:rPr>
  </w:style>
  <w:style w:type="character" w:customStyle="1" w:styleId="ListLabel18">
    <w:name w:val="ListLabel 18"/>
    <w:rPr>
      <w:rFonts w:cs="Times New Roman"/>
    </w:rPr>
  </w:style>
  <w:style w:type="character" w:customStyle="1" w:styleId="ListLabel19">
    <w:name w:val="ListLabel 1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0">
    <w:name w:val="ListLabel 20"/>
    <w:rPr>
      <w:rFonts w:cs="Times New Roman"/>
    </w:rPr>
  </w:style>
  <w:style w:type="character" w:customStyle="1" w:styleId="ListLabel21">
    <w:name w:val="ListLabel 21"/>
    <w:rPr>
      <w:rFonts w:cs="Times New Roman"/>
    </w:rPr>
  </w:style>
  <w:style w:type="character" w:customStyle="1" w:styleId="ListLabel22">
    <w:name w:val="ListLabel 22"/>
    <w:rPr>
      <w:rFonts w:cs="Times New Roman"/>
    </w:rPr>
  </w:style>
  <w:style w:type="character" w:customStyle="1" w:styleId="ListLabel23">
    <w:name w:val="ListLabel 23"/>
    <w:rPr>
      <w:rFonts w:cs="Times New Roman"/>
    </w:rPr>
  </w:style>
  <w:style w:type="character" w:customStyle="1" w:styleId="ListLabel24">
    <w:name w:val="ListLabel 24"/>
    <w:rPr>
      <w:rFonts w:cs="Times New Roman"/>
    </w:rPr>
  </w:style>
  <w:style w:type="character" w:customStyle="1" w:styleId="ListLabel25">
    <w:name w:val="ListLabel 25"/>
    <w:rPr>
      <w:rFonts w:cs="Times New Roman"/>
    </w:rPr>
  </w:style>
  <w:style w:type="character" w:customStyle="1" w:styleId="ListLabel26">
    <w:name w:val="ListLabel 26"/>
    <w:rPr>
      <w:rFonts w:cs="Times New Roman"/>
    </w:rPr>
  </w:style>
  <w:style w:type="character" w:customStyle="1" w:styleId="ListLabel27">
    <w:name w:val="ListLabel 27"/>
    <w:rPr>
      <w:rFonts w:cs="Times New Roman"/>
    </w:rPr>
  </w:style>
  <w:style w:type="character" w:customStyle="1" w:styleId="ListLabel28">
    <w:name w:val="ListLabel 28"/>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29">
    <w:name w:val="ListLabel 2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0">
    <w:name w:val="ListLabel 3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1">
    <w:name w:val="ListLabel 31"/>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2">
    <w:name w:val="ListLabel 3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3">
    <w:name w:val="ListLabel 33"/>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4">
    <w:name w:val="ListLabel 34"/>
    <w:rPr>
      <w:rFonts w:cs="Times New Roman"/>
    </w:rPr>
  </w:style>
  <w:style w:type="character" w:customStyle="1" w:styleId="ListLabel35">
    <w:name w:val="ListLabel 35"/>
    <w:rPr>
      <w:rFonts w:cs="Times New Roman"/>
    </w:rPr>
  </w:style>
  <w:style w:type="character" w:customStyle="1" w:styleId="ListLabel36">
    <w:name w:val="ListLabel 36"/>
    <w:rPr>
      <w:rFonts w:cs="Times New Roman"/>
    </w:rPr>
  </w:style>
  <w:style w:type="character" w:customStyle="1" w:styleId="ListLabel37">
    <w:name w:val="ListLabel 37"/>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8">
    <w:name w:val="ListLabel 3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39">
    <w:name w:val="ListLabel 3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0">
    <w:name w:val="ListLabel 40"/>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1">
    <w:name w:val="ListLabel 4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2">
    <w:name w:val="ListLabel 42"/>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3">
    <w:name w:val="ListLabel 43"/>
    <w:rPr>
      <w:rFonts w:cs="Times New Roman"/>
    </w:rPr>
  </w:style>
  <w:style w:type="character" w:customStyle="1" w:styleId="ListLabel44">
    <w:name w:val="ListLabel 44"/>
    <w:rPr>
      <w:rFonts w:cs="Times New Roman"/>
    </w:rPr>
  </w:style>
  <w:style w:type="character" w:customStyle="1" w:styleId="ListLabel45">
    <w:name w:val="ListLabel 45"/>
    <w:rPr>
      <w:rFonts w:cs="Times New Roman"/>
    </w:rPr>
  </w:style>
  <w:style w:type="character" w:customStyle="1" w:styleId="ListLabel46">
    <w:name w:val="ListLabel 46"/>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7">
    <w:name w:val="ListLabel 4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8">
    <w:name w:val="ListLabel 4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49">
    <w:name w:val="ListLabel 49"/>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0">
    <w:name w:val="ListLabel 5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1">
    <w:name w:val="ListLabel 51"/>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2">
    <w:name w:val="ListLabel 52"/>
    <w:rPr>
      <w:rFonts w:cs="Times New Roman"/>
    </w:rPr>
  </w:style>
  <w:style w:type="character" w:customStyle="1" w:styleId="ListLabel53">
    <w:name w:val="ListLabel 53"/>
    <w:rPr>
      <w:rFonts w:cs="Times New Roman"/>
    </w:rPr>
  </w:style>
  <w:style w:type="character" w:customStyle="1" w:styleId="ListLabel54">
    <w:name w:val="ListLabel 54"/>
    <w:rPr>
      <w:rFonts w:cs="Times New Roman"/>
    </w:rPr>
  </w:style>
  <w:style w:type="character" w:customStyle="1" w:styleId="ListLabel55">
    <w:name w:val="ListLabel 55"/>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6">
    <w:name w:val="ListLabel 5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7">
    <w:name w:val="ListLabel 57"/>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8">
    <w:name w:val="ListLabel 58"/>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59">
    <w:name w:val="ListLabel 59"/>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0">
    <w:name w:val="ListLabel 60"/>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61">
    <w:name w:val="ListLabel 61"/>
    <w:rPr>
      <w:rFonts w:cs="Times New Roman"/>
    </w:rPr>
  </w:style>
  <w:style w:type="character" w:customStyle="1" w:styleId="ListLabel62">
    <w:name w:val="ListLabel 62"/>
    <w:rPr>
      <w:rFonts w:cs="Times New Roman"/>
    </w:rPr>
  </w:style>
  <w:style w:type="character" w:customStyle="1" w:styleId="ListLabel63">
    <w:name w:val="ListLabel 63"/>
    <w:rPr>
      <w:rFonts w:cs="Times New Roman"/>
    </w:rPr>
  </w:style>
  <w:style w:type="character" w:customStyle="1" w:styleId="ListLabel64">
    <w:name w:val="ListLabel 64"/>
    <w:rPr>
      <w:rFonts w:cs="Courier New"/>
      <w:b w:val="0"/>
    </w:rPr>
  </w:style>
  <w:style w:type="character" w:customStyle="1" w:styleId="ListLabel65">
    <w:name w:val="ListLabel 65"/>
    <w:rPr>
      <w:rFonts w:cs="Courier New"/>
    </w:rPr>
  </w:style>
  <w:style w:type="character" w:customStyle="1" w:styleId="ListLabel66">
    <w:name w:val="ListLabel 66"/>
    <w:rPr>
      <w:rFonts w:cs="Courier New"/>
    </w:rPr>
  </w:style>
  <w:style w:type="character" w:customStyle="1" w:styleId="ListLabel67">
    <w:name w:val="ListLabel 67"/>
    <w:rPr>
      <w:rFonts w:cs="Courier New"/>
    </w:rPr>
  </w:style>
  <w:style w:type="character" w:customStyle="1" w:styleId="ListLabel68">
    <w:name w:val="ListLabel 68"/>
    <w:rPr>
      <w:rFonts w:cs="Courier New"/>
    </w:rPr>
  </w:style>
  <w:style w:type="character" w:customStyle="1" w:styleId="ListLabel69">
    <w:name w:val="ListLabel 69"/>
    <w:rPr>
      <w:rFonts w:cs="Courier New"/>
    </w:rPr>
  </w:style>
  <w:style w:type="character" w:customStyle="1" w:styleId="ListLabel70">
    <w:name w:val="ListLabel 70"/>
    <w:rPr>
      <w:rFonts w:cs="Courier New"/>
    </w:rPr>
  </w:style>
  <w:style w:type="character" w:customStyle="1" w:styleId="ListLabel71">
    <w:name w:val="ListLabel 71"/>
    <w:rPr>
      <w:rFonts w:cs="Courier New"/>
    </w:rPr>
  </w:style>
  <w:style w:type="character" w:customStyle="1" w:styleId="ListLabel72">
    <w:name w:val="ListLabel 72"/>
    <w:rPr>
      <w:rFonts w:cs="Courier New"/>
    </w:rPr>
  </w:style>
  <w:style w:type="character" w:customStyle="1" w:styleId="ListLabel73">
    <w:name w:val="ListLabel 73"/>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4">
    <w:name w:val="ListLabel 7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5">
    <w:name w:val="ListLabel 7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6">
    <w:name w:val="ListLabel 76"/>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7">
    <w:name w:val="ListLabel 7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8">
    <w:name w:val="ListLabel 78"/>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79">
    <w:name w:val="ListLabel 79"/>
    <w:rPr>
      <w:rFonts w:cs="Times New Roman"/>
    </w:rPr>
  </w:style>
  <w:style w:type="character" w:customStyle="1" w:styleId="ListLabel80">
    <w:name w:val="ListLabel 80"/>
    <w:rPr>
      <w:rFonts w:cs="Times New Roman"/>
    </w:rPr>
  </w:style>
  <w:style w:type="character" w:customStyle="1" w:styleId="ListLabel81">
    <w:name w:val="ListLabel 81"/>
    <w:rPr>
      <w:rFonts w:cs="Times New Roman"/>
    </w:rPr>
  </w:style>
  <w:style w:type="character" w:customStyle="1" w:styleId="ListLabel82">
    <w:name w:val="ListLabel 82"/>
    <w:rPr>
      <w:rFonts w:cs="Arial"/>
      <w:b/>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3">
    <w:name w:val="ListLabel 83"/>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4">
    <w:name w:val="ListLabel 84"/>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5">
    <w:name w:val="ListLabel 85"/>
    <w:rPr>
      <w:rFonts w:cs="Arial"/>
      <w:b w:val="0"/>
      <w:bCs w:val="0"/>
      <w:i w:val="0"/>
      <w:iCs w:val="0"/>
      <w:caps w:val="0"/>
      <w:smallCaps w:val="0"/>
      <w:strike w:val="0"/>
      <w:dstrike w:val="0"/>
      <w:vanish w:val="0"/>
      <w:color w:val="00000A"/>
      <w:spacing w:val="0"/>
      <w:w w:val="100"/>
      <w:kern w:val="0"/>
      <w:position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6">
    <w:name w:val="ListLabel 86"/>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7">
    <w:name w:val="ListLabel 87"/>
    <w:rPr>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ListLabel88">
    <w:name w:val="ListLabel 88"/>
    <w:rPr>
      <w:rFonts w:cs="Times New Roman"/>
    </w:rPr>
  </w:style>
  <w:style w:type="character" w:customStyle="1" w:styleId="ListLabel89">
    <w:name w:val="ListLabel 89"/>
    <w:rPr>
      <w:rFonts w:cs="Times New Roman"/>
    </w:rPr>
  </w:style>
  <w:style w:type="character" w:customStyle="1" w:styleId="ListLabel90">
    <w:name w:val="ListLabel 90"/>
    <w:rPr>
      <w:rFonts w:cs="Times New Roman"/>
    </w:rPr>
  </w:style>
  <w:style w:type="numbering" w:customStyle="1" w:styleId="NoList1">
    <w:name w:val="No List_1"/>
    <w:basedOn w:val="NoList"/>
  </w:style>
  <w:style w:type="numbering" w:customStyle="1" w:styleId="WWNum1">
    <w:name w:val="WWNum1"/>
    <w:basedOn w:val="NoList"/>
  </w:style>
  <w:style w:type="numbering" w:customStyle="1" w:styleId="WWNum2">
    <w:name w:val="WWNum2"/>
    <w:basedOn w:val="NoList"/>
  </w:style>
  <w:style w:type="numbering" w:customStyle="1" w:styleId="WWNum3">
    <w:name w:val="WWNum3"/>
    <w:basedOn w:val="NoList"/>
  </w:style>
  <w:style w:type="numbering" w:customStyle="1" w:styleId="WWNum4">
    <w:name w:val="WWNum4"/>
    <w:basedOn w:val="NoList"/>
  </w:style>
  <w:style w:type="numbering" w:customStyle="1" w:styleId="WWNum5">
    <w:name w:val="WWNum5"/>
    <w:basedOn w:val="NoList"/>
  </w:style>
  <w:style w:type="numbering" w:customStyle="1" w:styleId="WWNum6">
    <w:name w:val="WWNum6"/>
    <w:basedOn w:val="NoList"/>
  </w:style>
  <w:style w:type="numbering" w:customStyle="1" w:styleId="WWNum7">
    <w:name w:val="WWNum7"/>
    <w:basedOn w:val="NoList"/>
  </w:style>
  <w:style w:type="numbering" w:customStyle="1" w:styleId="WWNum8">
    <w:name w:val="WWNum8"/>
    <w:basedOn w:val="NoList"/>
  </w:style>
  <w:style w:type="numbering" w:customStyle="1" w:styleId="WWNum9">
    <w:name w:val="WWNum9"/>
    <w:basedOn w:val="NoList"/>
  </w:style>
  <w:style w:type="numbering" w:customStyle="1" w:styleId="WWNum10">
    <w:name w:val="WWNum10"/>
    <w:basedOn w:val="NoList"/>
  </w:style>
  <w:style w:type="numbering" w:customStyle="1" w:styleId="WWNum11">
    <w:name w:val="WWNum11"/>
    <w:basedOn w:val="NoList"/>
  </w:style>
  <w:style w:type="numbering" w:customStyle="1" w:styleId="WWNum12">
    <w:name w:val="WWNum12"/>
    <w:basedOn w:val="NoList"/>
  </w:style>
  <w:style w:type="numbering" w:customStyle="1" w:styleId="WWNum13">
    <w:name w:val="WWNum13"/>
    <w:basedOn w:val="NoList"/>
  </w:style>
  <w:style w:type="table" w:styleId="TableGrid">
    <w:name w:val="Table Grid"/>
    <w:basedOn w:val="TableNormal"/>
    <w:uiPriority w:val="39"/>
    <w:rsid w:val="007A5C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Pr>
  </w:style>
  <w:style w:type="paragraph" w:styleId="Revision">
    <w:name w:val="Revision"/>
    <w:hidden/>
    <w:uiPriority w:val="99"/>
    <w:semiHidden/>
    <w:rsid w:val="004901FC"/>
    <w:pPr>
      <w:widowControl/>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anTNmPTccBspuq9MVe4v01KX1Xg==">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</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8A517A9A-3A95-40D5-94F7-4EFFDCBBF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1991</Words>
  <Characters>11352</Characters>
  <Application>Microsoft Office Word</Application>
  <DocSecurity>0</DocSecurity>
  <Lines>94</Lines>
  <Paragraphs>26</Paragraphs>
  <ScaleCrop>false</ScaleCrop>
  <Company>Cabinet Office</Company>
  <LinksUpToDate>false</LinksUpToDate>
  <CharactersWithSpaces>13317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Erin McNeil</cp:lastModifiedBy>
  <cp:revision>5</cp:revision>
  <dcterms:created xsi:type="dcterms:W3CDTF">2018-06-15T14:49:00Z</dcterms:created>
  <dcterms:modified xsi:type="dcterms:W3CDTF">2020-08-14T12:54:00Z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gCurrentVersion">
    <vt:lpwstr>15 November 2017 D1V4</vt:lpwstr>
  </property>
</Properties>
</file>